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default" w:ascii="黑体" w:hAnsi="黑体" w:eastAsia="黑体" w:cs="黑体"/>
          <w:sz w:val="32"/>
          <w:szCs w:val="32"/>
          <w:lang w:val="en-US" w:eastAsia="zh-CN"/>
        </w:rPr>
      </w:pPr>
      <w:r>
        <w:rPr>
          <w:rFonts w:hint="eastAsia" w:ascii="黑体" w:hAnsi="黑体" w:eastAsia="黑体" w:cs="黑体"/>
          <w:sz w:val="32"/>
          <w:szCs w:val="32"/>
          <w:lang w:val="en-US" w:eastAsia="zh-Hans"/>
        </w:rPr>
        <w:t>附件</w:t>
      </w:r>
      <w:r>
        <w:rPr>
          <w:rFonts w:hint="eastAsia" w:ascii="黑体" w:hAnsi="黑体" w:eastAsia="黑体" w:cs="黑体"/>
          <w:sz w:val="32"/>
          <w:szCs w:val="32"/>
          <w:lang w:val="en-US" w:eastAsia="zh-CN"/>
        </w:rPr>
        <w:t>2-1</w:t>
      </w:r>
      <w:bookmarkStart w:id="0" w:name="_GoBack"/>
      <w:bookmarkEnd w:id="0"/>
    </w:p>
    <w:p>
      <w:pPr>
        <w:widowControl w:val="0"/>
        <w:wordWrap/>
        <w:adjustRightInd/>
        <w:snapToGrid/>
        <w:spacing w:line="600" w:lineRule="exact"/>
        <w:jc w:val="center"/>
        <w:textAlignment w:val="auto"/>
        <w:rPr>
          <w:rFonts w:hint="eastAsia" w:ascii="Times New Roman" w:hAnsi="Times New Roman" w:eastAsia="方正小标宋简体" w:cs="方正小标宋简体"/>
          <w:b w:val="0"/>
          <w:bCs w:val="0"/>
          <w:color w:val="auto"/>
          <w:spacing w:val="6"/>
          <w:sz w:val="44"/>
          <w:szCs w:val="44"/>
          <w:lang w:val="en-US" w:eastAsia="zh-CN"/>
        </w:rPr>
      </w:pPr>
      <w:r>
        <w:rPr>
          <w:rFonts w:hint="eastAsia" w:ascii="Times New Roman" w:hAnsi="Times New Roman" w:eastAsia="方正小标宋简体" w:cs="方正小标宋简体"/>
          <w:b w:val="0"/>
          <w:bCs w:val="0"/>
          <w:color w:val="auto"/>
          <w:spacing w:val="6"/>
          <w:sz w:val="44"/>
          <w:szCs w:val="44"/>
          <w:lang w:val="en-US" w:eastAsia="zh-CN"/>
        </w:rPr>
        <w:t>广东省政府质量奖（组织）评审准则</w:t>
      </w:r>
    </w:p>
    <w:p>
      <w:pPr>
        <w:widowControl w:val="0"/>
        <w:wordWrap/>
        <w:adjustRightInd/>
        <w:snapToGrid/>
        <w:spacing w:line="580" w:lineRule="exact"/>
        <w:jc w:val="center"/>
        <w:textAlignment w:val="auto"/>
        <w:rPr>
          <w:rFonts w:ascii="Times New Roman" w:hAnsi="Times New Roman" w:eastAsia="宋体"/>
          <w:b/>
          <w:bCs/>
          <w:sz w:val="28"/>
          <w:szCs w:val="28"/>
        </w:rPr>
      </w:pPr>
    </w:p>
    <w:p>
      <w:pPr>
        <w:widowControl w:val="0"/>
        <w:pBdr>
          <w:top w:val="none" w:color="auto" w:sz="0" w:space="0"/>
          <w:left w:val="none" w:color="auto" w:sz="0" w:space="0"/>
          <w:bottom w:val="none" w:color="auto" w:sz="0" w:space="0"/>
          <w:right w:val="none" w:color="auto" w:sz="0" w:space="0"/>
        </w:pBdr>
        <w:wordWrap/>
        <w:adjustRightInd/>
        <w:snapToGrid/>
        <w:spacing w:line="580" w:lineRule="exact"/>
        <w:ind w:left="0" w:leftChars="0" w:firstLine="640" w:firstLineChars="200"/>
        <w:textAlignment w:val="auto"/>
        <w:outlineLvl w:val="9"/>
        <w:rPr>
          <w:rFonts w:hint="eastAsia" w:ascii="Times New Roman" w:hAnsi="Times New Roman" w:eastAsia="仿宋_GB2312" w:cs="仿宋_GB2312"/>
          <w:color w:val="000000"/>
          <w:sz w:val="32"/>
          <w:szCs w:val="32"/>
        </w:rPr>
      </w:pPr>
      <w:r>
        <w:rPr>
          <w:rFonts w:hint="eastAsia" w:ascii="Times New Roman" w:hAnsi="Times New Roman" w:eastAsia="仿宋_GB2312" w:cs="仿宋_GB2312"/>
          <w:color w:val="000000"/>
          <w:sz w:val="32"/>
          <w:szCs w:val="32"/>
        </w:rPr>
        <w:t>根据《</w:t>
      </w:r>
      <w:r>
        <w:rPr>
          <w:rFonts w:hint="eastAsia" w:ascii="Times New Roman" w:hAnsi="Times New Roman" w:eastAsia="仿宋_GB2312" w:cs="仿宋_GB2312"/>
          <w:color w:val="000000"/>
          <w:sz w:val="32"/>
          <w:szCs w:val="32"/>
          <w:lang w:val="en-US" w:eastAsia="zh-CN"/>
        </w:rPr>
        <w:t>广东省政府质量奖管理办法</w:t>
      </w:r>
      <w:r>
        <w:rPr>
          <w:rFonts w:hint="eastAsia" w:ascii="Times New Roman" w:hAnsi="Times New Roman" w:eastAsia="仿宋_GB2312" w:cs="仿宋_GB2312"/>
          <w:color w:val="000000"/>
          <w:sz w:val="32"/>
          <w:szCs w:val="32"/>
        </w:rPr>
        <w:t>》</w:t>
      </w:r>
      <w:r>
        <w:rPr>
          <w:rFonts w:hint="eastAsia" w:ascii="Times New Roman" w:hAnsi="Times New Roman" w:eastAsia="仿宋_GB2312" w:cs="仿宋_GB2312"/>
          <w:color w:val="000000"/>
          <w:sz w:val="32"/>
          <w:szCs w:val="32"/>
          <w:lang w:eastAsia="zh-CN"/>
        </w:rPr>
        <w:t>（</w:t>
      </w:r>
      <w:r>
        <w:rPr>
          <w:rFonts w:hint="eastAsia" w:ascii="Times New Roman" w:hAnsi="Times New Roman" w:eastAsia="仿宋_GB2312" w:cs="仿宋_GB2312"/>
          <w:color w:val="000000"/>
          <w:sz w:val="32"/>
          <w:szCs w:val="32"/>
        </w:rPr>
        <w:t>粤府办</w:t>
      </w:r>
      <w:r>
        <w:rPr>
          <w:rFonts w:hint="default" w:ascii="Times New Roman" w:hAnsi="Times New Roman" w:eastAsia="仿宋_GB2312" w:cs="仿宋_GB2312"/>
          <w:color w:val="000000"/>
          <w:sz w:val="32"/>
          <w:szCs w:val="32"/>
          <w:lang w:eastAsia="zh-CN"/>
        </w:rPr>
        <w:t>〔202</w:t>
      </w:r>
      <w:r>
        <w:rPr>
          <w:rFonts w:hint="eastAsia" w:ascii="Times New Roman" w:hAnsi="Times New Roman" w:eastAsia="仿宋_GB2312" w:cs="仿宋_GB2312"/>
          <w:color w:val="000000"/>
          <w:sz w:val="32"/>
          <w:szCs w:val="32"/>
          <w:lang w:val="en-US" w:eastAsia="zh-CN"/>
        </w:rPr>
        <w:t>1</w:t>
      </w:r>
      <w:r>
        <w:rPr>
          <w:rFonts w:hint="default" w:ascii="Times New Roman" w:hAnsi="Times New Roman" w:eastAsia="仿宋_GB2312" w:cs="仿宋_GB2312"/>
          <w:color w:val="000000"/>
          <w:sz w:val="32"/>
          <w:szCs w:val="32"/>
          <w:lang w:eastAsia="zh-CN"/>
        </w:rPr>
        <w:t>〕</w:t>
      </w:r>
      <w:r>
        <w:rPr>
          <w:rFonts w:hint="eastAsia" w:ascii="Times New Roman" w:hAnsi="Times New Roman" w:eastAsia="仿宋_GB2312" w:cs="仿宋_GB2312"/>
          <w:color w:val="000000"/>
          <w:sz w:val="32"/>
          <w:szCs w:val="32"/>
        </w:rPr>
        <w:t>55号</w:t>
      </w:r>
      <w:r>
        <w:rPr>
          <w:rFonts w:hint="eastAsia" w:ascii="Times New Roman" w:hAnsi="Times New Roman" w:cs="仿宋_GB2312"/>
          <w:color w:val="000000"/>
          <w:sz w:val="32"/>
          <w:szCs w:val="32"/>
          <w:lang w:eastAsia="zh-CN"/>
        </w:rPr>
        <w:t>，</w:t>
      </w:r>
      <w:r>
        <w:rPr>
          <w:rFonts w:hint="eastAsia" w:ascii="Times New Roman" w:hAnsi="Times New Roman" w:eastAsia="仿宋_GB2312" w:cs="仿宋_GB2312"/>
          <w:color w:val="000000"/>
          <w:sz w:val="32"/>
          <w:szCs w:val="32"/>
          <w:lang w:eastAsia="zh-CN"/>
        </w:rPr>
        <w:t>以下简称《办法》）</w:t>
      </w:r>
      <w:r>
        <w:rPr>
          <w:rFonts w:hint="eastAsia" w:ascii="Times New Roman" w:hAnsi="Times New Roman" w:eastAsia="仿宋_GB2312" w:cs="仿宋_GB2312"/>
          <w:color w:val="000000"/>
          <w:sz w:val="32"/>
          <w:szCs w:val="32"/>
        </w:rPr>
        <w:t>规定，</w:t>
      </w:r>
      <w:r>
        <w:rPr>
          <w:rFonts w:hint="eastAsia" w:ascii="Times New Roman" w:hAnsi="Times New Roman" w:eastAsia="仿宋_GB2312" w:cs="仿宋_GB2312"/>
          <w:color w:val="000000"/>
          <w:sz w:val="32"/>
          <w:szCs w:val="32"/>
          <w:lang w:val="en-US" w:eastAsia="zh-CN"/>
        </w:rPr>
        <w:t>参照《中国质量奖评审要点》、</w:t>
      </w:r>
      <w:r>
        <w:rPr>
          <w:rFonts w:hint="default" w:ascii="Times New Roman" w:hAnsi="Times New Roman" w:eastAsia="仿宋_GB2312" w:cs="仿宋_GB2312"/>
          <w:color w:val="000000"/>
          <w:sz w:val="32"/>
          <w:szCs w:val="32"/>
          <w:lang w:eastAsia="zh-CN"/>
        </w:rPr>
        <w:t>GB</w:t>
      </w:r>
      <w:r>
        <w:rPr>
          <w:rFonts w:hint="default" w:ascii="Times New Roman" w:hAnsi="Times New Roman" w:eastAsia="仿宋_GB2312" w:cs="仿宋_GB2312"/>
          <w:color w:val="000000"/>
          <w:sz w:val="32"/>
          <w:szCs w:val="32"/>
          <w:lang w:val="en-US" w:eastAsia="zh-CN"/>
        </w:rPr>
        <w:t>/</w:t>
      </w:r>
      <w:r>
        <w:rPr>
          <w:rFonts w:hint="default" w:ascii="Times New Roman" w:hAnsi="Times New Roman" w:eastAsia="仿宋_GB2312" w:cs="仿宋_GB2312"/>
          <w:color w:val="000000"/>
          <w:sz w:val="32"/>
          <w:szCs w:val="32"/>
          <w:lang w:eastAsia="zh-CN"/>
        </w:rPr>
        <w:t>T 19580《卓越绩效评价准则》</w:t>
      </w:r>
      <w:r>
        <w:rPr>
          <w:rFonts w:hint="eastAsia" w:ascii="Times New Roman" w:hAnsi="Times New Roman" w:eastAsia="仿宋_GB2312" w:cs="仿宋_GB2312"/>
          <w:color w:val="000000"/>
          <w:sz w:val="32"/>
          <w:szCs w:val="32"/>
          <w:lang w:val="en-US" w:eastAsia="zh-CN"/>
        </w:rPr>
        <w:t>，</w:t>
      </w:r>
      <w:r>
        <w:rPr>
          <w:rFonts w:hint="eastAsia" w:ascii="Times New Roman" w:hAnsi="Times New Roman" w:eastAsia="仿宋_GB2312" w:cs="仿宋_GB2312"/>
          <w:color w:val="000000"/>
          <w:sz w:val="32"/>
          <w:szCs w:val="32"/>
        </w:rPr>
        <w:t>制订广东省政府质量奖（</w:t>
      </w:r>
      <w:r>
        <w:rPr>
          <w:rFonts w:hint="eastAsia" w:ascii="Times New Roman" w:hAnsi="Times New Roman" w:eastAsia="仿宋_GB2312" w:cs="仿宋_GB2312"/>
          <w:color w:val="000000"/>
          <w:sz w:val="32"/>
          <w:szCs w:val="32"/>
          <w:lang w:val="en-US" w:eastAsia="zh-CN"/>
        </w:rPr>
        <w:t>组织</w:t>
      </w:r>
      <w:r>
        <w:rPr>
          <w:rFonts w:hint="eastAsia" w:ascii="Times New Roman" w:hAnsi="Times New Roman" w:eastAsia="仿宋_GB2312" w:cs="仿宋_GB2312"/>
          <w:color w:val="000000"/>
          <w:sz w:val="32"/>
          <w:szCs w:val="32"/>
        </w:rPr>
        <w:t>）</w:t>
      </w:r>
      <w:r>
        <w:rPr>
          <w:rFonts w:hint="eastAsia" w:ascii="Times New Roman" w:hAnsi="Times New Roman" w:eastAsia="仿宋_GB2312" w:cs="仿宋_GB2312"/>
          <w:color w:val="000000"/>
          <w:sz w:val="32"/>
          <w:szCs w:val="32"/>
          <w:lang w:val="en-US" w:eastAsia="zh-CN"/>
        </w:rPr>
        <w:t>评审准则</w:t>
      </w:r>
      <w:r>
        <w:rPr>
          <w:rFonts w:hint="eastAsia" w:ascii="Times New Roman" w:hAnsi="Times New Roman" w:eastAsia="仿宋_GB2312" w:cs="仿宋_GB2312"/>
          <w:color w:val="000000"/>
          <w:sz w:val="32"/>
          <w:szCs w:val="32"/>
        </w:rPr>
        <w:t>。评审内容如下：</w:t>
      </w:r>
    </w:p>
    <w:p>
      <w:pPr>
        <w:widowControl w:val="0"/>
        <w:pBdr>
          <w:top w:val="none" w:color="auto" w:sz="0" w:space="0"/>
          <w:left w:val="none" w:color="auto" w:sz="0" w:space="0"/>
          <w:bottom w:val="none" w:color="auto" w:sz="0" w:space="0"/>
          <w:right w:val="none" w:color="auto" w:sz="0" w:space="0"/>
        </w:pBdr>
        <w:wordWrap/>
        <w:adjustRightInd/>
        <w:snapToGrid/>
        <w:spacing w:line="580" w:lineRule="exact"/>
        <w:ind w:left="0" w:leftChars="0" w:firstLine="640" w:firstLineChars="200"/>
        <w:textAlignment w:val="auto"/>
        <w:outlineLvl w:val="9"/>
        <w:rPr>
          <w:rFonts w:hint="eastAsia" w:ascii="Times New Roman" w:hAnsi="Times New Roman" w:eastAsia="黑体" w:cs="黑体"/>
          <w:color w:val="000000"/>
          <w:sz w:val="32"/>
          <w:szCs w:val="32"/>
        </w:rPr>
      </w:pPr>
      <w:r>
        <w:rPr>
          <w:rFonts w:hint="eastAsia" w:ascii="Times New Roman" w:hAnsi="Times New Roman" w:eastAsia="黑体" w:cs="黑体"/>
          <w:color w:val="000000"/>
          <w:sz w:val="32"/>
          <w:szCs w:val="32"/>
        </w:rPr>
        <w:t>一、指标</w:t>
      </w:r>
      <w:r>
        <w:rPr>
          <w:rFonts w:hint="eastAsia" w:ascii="Times New Roman" w:hAnsi="Times New Roman" w:eastAsia="黑体" w:cs="黑体"/>
          <w:color w:val="000000"/>
          <w:sz w:val="32"/>
          <w:szCs w:val="32"/>
          <w:lang w:eastAsia="zh-CN"/>
        </w:rPr>
        <w:t>设置</w:t>
      </w:r>
    </w:p>
    <w:p>
      <w:pPr>
        <w:widowControl w:val="0"/>
        <w:pBdr>
          <w:top w:val="none" w:color="auto" w:sz="0" w:space="0"/>
          <w:left w:val="none" w:color="auto" w:sz="0" w:space="0"/>
          <w:bottom w:val="none" w:color="auto" w:sz="0" w:space="0"/>
          <w:right w:val="none" w:color="auto" w:sz="0" w:space="0"/>
        </w:pBdr>
        <w:wordWrap/>
        <w:adjustRightInd/>
        <w:snapToGrid/>
        <w:spacing w:line="580" w:lineRule="exact"/>
        <w:ind w:left="0" w:leftChars="0" w:firstLine="640" w:firstLineChars="200"/>
        <w:textAlignment w:val="auto"/>
        <w:outlineLvl w:val="9"/>
        <w:rPr>
          <w:rFonts w:hint="eastAsia" w:ascii="Times New Roman" w:hAnsi="Times New Roman" w:eastAsia="仿宋_GB2312" w:cs="仿宋_GB2312"/>
          <w:color w:val="000000"/>
          <w:sz w:val="32"/>
          <w:szCs w:val="32"/>
        </w:rPr>
      </w:pPr>
      <w:r>
        <w:rPr>
          <w:rFonts w:hint="eastAsia" w:ascii="Times New Roman" w:hAnsi="Times New Roman" w:eastAsia="仿宋_GB2312" w:cs="仿宋_GB2312"/>
          <w:color w:val="000000"/>
          <w:sz w:val="32"/>
          <w:szCs w:val="32"/>
        </w:rPr>
        <w:t>广东省政府质量奖（组织）的评审领域具体设置为制造业、服务业、工程建设业、医疗机构（医院科室、专项医疗团队和社区医疗机构）、教育机构（义务教育阶段</w:t>
      </w:r>
      <w:r>
        <w:rPr>
          <w:rFonts w:hint="default" w:ascii="Times New Roman" w:hAnsi="Times New Roman" w:eastAsia="仿宋_GB2312" w:cs="仿宋_GB2312"/>
          <w:color w:val="000000"/>
          <w:sz w:val="32"/>
          <w:szCs w:val="32"/>
        </w:rPr>
        <w:t>小学、初中</w:t>
      </w:r>
      <w:r>
        <w:rPr>
          <w:rFonts w:hint="eastAsia" w:ascii="Times New Roman" w:hAnsi="Times New Roman" w:eastAsia="仿宋_GB2312" w:cs="仿宋_GB2312"/>
          <w:color w:val="000000"/>
          <w:sz w:val="32"/>
          <w:szCs w:val="32"/>
        </w:rPr>
        <w:t>学校和职业院校）及一线班组</w:t>
      </w:r>
      <w:r>
        <w:rPr>
          <w:rFonts w:hint="eastAsia" w:ascii="Times New Roman" w:hAnsi="Times New Roman" w:eastAsia="仿宋_GB2312" w:cs="仿宋_GB2312"/>
          <w:color w:val="000000"/>
          <w:sz w:val="32"/>
          <w:szCs w:val="32"/>
          <w:lang w:val="en-US" w:eastAsia="zh-CN"/>
        </w:rPr>
        <w:t>等</w:t>
      </w:r>
      <w:r>
        <w:rPr>
          <w:rFonts w:hint="eastAsia" w:ascii="Times New Roman" w:hAnsi="Times New Roman" w:cs="仿宋_GB2312"/>
          <w:color w:val="000000"/>
          <w:sz w:val="32"/>
          <w:szCs w:val="32"/>
          <w:lang w:val="en-US" w:eastAsia="zh-CN"/>
        </w:rPr>
        <w:t>6</w:t>
      </w:r>
      <w:r>
        <w:rPr>
          <w:rFonts w:hint="eastAsia" w:ascii="Times New Roman" w:hAnsi="Times New Roman" w:eastAsia="仿宋_GB2312" w:cs="仿宋_GB2312"/>
          <w:color w:val="000000"/>
          <w:sz w:val="32"/>
          <w:szCs w:val="32"/>
          <w:lang w:val="en-US" w:eastAsia="zh-CN"/>
        </w:rPr>
        <w:t>大类组织</w:t>
      </w:r>
      <w:r>
        <w:rPr>
          <w:rFonts w:hint="eastAsia" w:ascii="Times New Roman" w:hAnsi="Times New Roman" w:eastAsia="仿宋_GB2312" w:cs="仿宋_GB2312"/>
          <w:color w:val="000000"/>
          <w:sz w:val="32"/>
          <w:szCs w:val="32"/>
        </w:rPr>
        <w:t>，</w:t>
      </w:r>
      <w:r>
        <w:rPr>
          <w:rFonts w:hint="eastAsia" w:ascii="Times New Roman" w:hAnsi="Times New Roman" w:eastAsia="仿宋_GB2312" w:cs="仿宋_GB2312"/>
          <w:color w:val="000000"/>
          <w:sz w:val="32"/>
          <w:szCs w:val="32"/>
          <w:lang w:val="en-US" w:eastAsia="zh-CN"/>
        </w:rPr>
        <w:t>评审准则包括</w:t>
      </w:r>
      <w:r>
        <w:rPr>
          <w:rFonts w:hint="eastAsia" w:ascii="Times New Roman" w:hAnsi="Times New Roman" w:eastAsia="仿宋_GB2312" w:cs="仿宋_GB2312"/>
          <w:color w:val="000000"/>
          <w:sz w:val="32"/>
          <w:szCs w:val="32"/>
        </w:rPr>
        <w:t>领导、质量、创新、品牌和效益等5</w:t>
      </w:r>
      <w:r>
        <w:rPr>
          <w:rFonts w:hint="eastAsia" w:ascii="Times New Roman" w:hAnsi="Times New Roman" w:eastAsia="仿宋_GB2312" w:cs="仿宋_GB2312"/>
          <w:color w:val="000000"/>
          <w:sz w:val="32"/>
          <w:szCs w:val="32"/>
          <w:lang w:val="en-US" w:eastAsia="zh-CN"/>
        </w:rPr>
        <w:t>大部分</w:t>
      </w:r>
      <w:r>
        <w:rPr>
          <w:rFonts w:hint="eastAsia" w:ascii="Times New Roman" w:hAnsi="Times New Roman" w:eastAsia="仿宋_GB2312" w:cs="仿宋_GB2312"/>
          <w:color w:val="000000"/>
          <w:sz w:val="32"/>
          <w:szCs w:val="32"/>
        </w:rPr>
        <w:t>，</w:t>
      </w:r>
      <w:r>
        <w:rPr>
          <w:rFonts w:hint="eastAsia" w:ascii="Times New Roman" w:hAnsi="Times New Roman" w:eastAsia="仿宋_GB2312" w:cs="仿宋_GB2312"/>
          <w:color w:val="000000"/>
          <w:sz w:val="32"/>
          <w:szCs w:val="32"/>
          <w:lang w:val="en-US" w:eastAsia="zh-CN"/>
        </w:rPr>
        <w:t>由</w:t>
      </w:r>
      <w:r>
        <w:rPr>
          <w:rFonts w:hint="eastAsia" w:ascii="Times New Roman" w:hAnsi="Times New Roman" w:eastAsia="仿宋_GB2312" w:cs="仿宋_GB2312"/>
          <w:color w:val="000000"/>
          <w:sz w:val="32"/>
          <w:szCs w:val="32"/>
        </w:rPr>
        <w:t>一级评价</w:t>
      </w:r>
      <w:r>
        <w:rPr>
          <w:rFonts w:hint="eastAsia" w:ascii="Times New Roman" w:hAnsi="Times New Roman" w:eastAsia="仿宋_GB2312" w:cs="仿宋_GB2312"/>
          <w:color w:val="000000"/>
          <w:sz w:val="32"/>
          <w:szCs w:val="32"/>
          <w:lang w:eastAsia="zh-CN"/>
        </w:rPr>
        <w:t>指标</w:t>
      </w:r>
      <w:r>
        <w:rPr>
          <w:rFonts w:hint="eastAsia" w:ascii="Times New Roman" w:hAnsi="Times New Roman" w:eastAsia="仿宋_GB2312" w:cs="仿宋_GB2312"/>
          <w:color w:val="000000"/>
          <w:sz w:val="32"/>
          <w:szCs w:val="32"/>
        </w:rPr>
        <w:t>、二级评价</w:t>
      </w:r>
      <w:r>
        <w:rPr>
          <w:rFonts w:hint="eastAsia" w:ascii="Times New Roman" w:hAnsi="Times New Roman" w:eastAsia="仿宋_GB2312" w:cs="仿宋_GB2312"/>
          <w:color w:val="000000"/>
          <w:sz w:val="32"/>
          <w:szCs w:val="32"/>
          <w:lang w:eastAsia="zh-CN"/>
        </w:rPr>
        <w:t>指标</w:t>
      </w:r>
      <w:r>
        <w:rPr>
          <w:rFonts w:hint="eastAsia" w:ascii="Times New Roman" w:hAnsi="Times New Roman" w:eastAsia="仿宋_GB2312" w:cs="仿宋_GB2312"/>
          <w:color w:val="000000"/>
          <w:sz w:val="32"/>
          <w:szCs w:val="32"/>
        </w:rPr>
        <w:t>和评</w:t>
      </w:r>
      <w:r>
        <w:rPr>
          <w:rFonts w:hint="eastAsia" w:ascii="Times New Roman" w:hAnsi="Times New Roman" w:eastAsia="仿宋_GB2312" w:cs="仿宋_GB2312"/>
          <w:color w:val="000000"/>
          <w:sz w:val="32"/>
          <w:szCs w:val="32"/>
          <w:lang w:val="en-US" w:eastAsia="zh-CN"/>
        </w:rPr>
        <w:t>分</w:t>
      </w:r>
      <w:r>
        <w:rPr>
          <w:rFonts w:hint="eastAsia" w:ascii="Times New Roman" w:hAnsi="Times New Roman" w:eastAsia="仿宋_GB2312" w:cs="仿宋_GB2312"/>
          <w:color w:val="000000"/>
          <w:sz w:val="32"/>
          <w:szCs w:val="32"/>
        </w:rPr>
        <w:t>要点三部分</w:t>
      </w:r>
      <w:r>
        <w:rPr>
          <w:rFonts w:hint="eastAsia" w:ascii="Times New Roman" w:hAnsi="Times New Roman" w:eastAsia="仿宋_GB2312" w:cs="仿宋_GB2312"/>
          <w:color w:val="000000"/>
          <w:sz w:val="32"/>
          <w:szCs w:val="32"/>
          <w:lang w:val="en-US" w:eastAsia="zh-CN"/>
        </w:rPr>
        <w:t>组成</w:t>
      </w:r>
      <w:r>
        <w:rPr>
          <w:rFonts w:hint="eastAsia" w:ascii="Times New Roman" w:hAnsi="Times New Roman" w:eastAsia="仿宋_GB2312" w:cs="仿宋_GB2312"/>
          <w:color w:val="000000"/>
          <w:sz w:val="32"/>
          <w:szCs w:val="32"/>
        </w:rPr>
        <w:t>。</w:t>
      </w:r>
      <w:r>
        <w:rPr>
          <w:rFonts w:hint="eastAsia" w:ascii="Times New Roman" w:hAnsi="Times New Roman" w:eastAsia="仿宋_GB2312" w:cs="仿宋_GB2312"/>
          <w:color w:val="000000"/>
          <w:sz w:val="32"/>
          <w:szCs w:val="32"/>
          <w:lang w:val="en-US" w:eastAsia="zh-CN"/>
        </w:rPr>
        <w:t>评审准则在中国质量奖评审要点的基础上增加了</w:t>
      </w:r>
      <w:r>
        <w:rPr>
          <w:rFonts w:hint="eastAsia" w:ascii="Times New Roman" w:hAnsi="Times New Roman" w:eastAsia="仿宋_GB2312" w:cs="仿宋_GB2312"/>
          <w:color w:val="000000"/>
          <w:sz w:val="32"/>
          <w:szCs w:val="32"/>
          <w:lang w:eastAsia="zh-CN"/>
        </w:rPr>
        <w:t>“</w:t>
      </w:r>
      <w:r>
        <w:rPr>
          <w:rFonts w:hint="eastAsia" w:ascii="Times New Roman" w:hAnsi="Times New Roman" w:eastAsia="仿宋_GB2312" w:cs="仿宋_GB2312"/>
          <w:color w:val="000000"/>
          <w:sz w:val="32"/>
          <w:szCs w:val="32"/>
        </w:rPr>
        <w:t>领导</w:t>
      </w:r>
      <w:r>
        <w:rPr>
          <w:rFonts w:hint="eastAsia" w:ascii="Times New Roman" w:hAnsi="Times New Roman" w:eastAsia="仿宋_GB2312" w:cs="仿宋_GB2312"/>
          <w:color w:val="000000"/>
          <w:sz w:val="32"/>
          <w:szCs w:val="32"/>
          <w:lang w:eastAsia="zh-CN"/>
        </w:rPr>
        <w:t>”，</w:t>
      </w:r>
      <w:r>
        <w:rPr>
          <w:rFonts w:hint="eastAsia" w:ascii="Times New Roman" w:hAnsi="Times New Roman" w:eastAsia="仿宋_GB2312" w:cs="仿宋_GB2312"/>
          <w:color w:val="000000"/>
          <w:sz w:val="32"/>
          <w:szCs w:val="32"/>
          <w:lang w:val="en-US" w:eastAsia="zh-CN"/>
        </w:rPr>
        <w:t>旨在强调领导在弘扬企业家精神、加强组织文化建设、强化全员质量意识、营造创新环境、履行社会责任和追求卓越效益等过程中的地位和作用</w:t>
      </w:r>
      <w:r>
        <w:rPr>
          <w:rFonts w:hint="eastAsia" w:ascii="Times New Roman" w:hAnsi="Times New Roman" w:eastAsia="仿宋_GB2312" w:cs="仿宋_GB2312"/>
          <w:color w:val="000000"/>
          <w:sz w:val="32"/>
          <w:szCs w:val="32"/>
        </w:rPr>
        <w:t>。</w:t>
      </w:r>
    </w:p>
    <w:p>
      <w:pPr>
        <w:widowControl w:val="0"/>
        <w:pBdr>
          <w:top w:val="none" w:color="auto" w:sz="0" w:space="0"/>
          <w:left w:val="none" w:color="auto" w:sz="0" w:space="0"/>
          <w:bottom w:val="none" w:color="auto" w:sz="0" w:space="0"/>
          <w:right w:val="none" w:color="auto" w:sz="0" w:space="0"/>
        </w:pBdr>
        <w:wordWrap/>
        <w:adjustRightInd/>
        <w:snapToGrid/>
        <w:spacing w:line="580" w:lineRule="exact"/>
        <w:ind w:left="0" w:leftChars="0" w:firstLine="640" w:firstLineChars="200"/>
        <w:textAlignment w:val="auto"/>
        <w:outlineLvl w:val="9"/>
        <w:rPr>
          <w:rFonts w:hint="eastAsia" w:ascii="Times New Roman" w:hAnsi="Times New Roman" w:eastAsia="仿宋_GB2312" w:cs="仿宋_GB2312"/>
          <w:color w:val="000000"/>
          <w:sz w:val="32"/>
          <w:szCs w:val="32"/>
        </w:rPr>
      </w:pPr>
      <w:r>
        <w:rPr>
          <w:rFonts w:hint="eastAsia" w:ascii="Times New Roman" w:hAnsi="Times New Roman" w:eastAsia="仿宋_GB2312" w:cs="仿宋_GB2312"/>
          <w:color w:val="000000"/>
          <w:sz w:val="32"/>
          <w:szCs w:val="32"/>
        </w:rPr>
        <w:t>制造业、服务业、工程建设业</w:t>
      </w:r>
      <w:r>
        <w:rPr>
          <w:rFonts w:hint="eastAsia" w:ascii="Times New Roman" w:hAnsi="Times New Roman" w:eastAsia="仿宋_GB2312" w:cs="仿宋_GB2312"/>
          <w:color w:val="000000"/>
          <w:sz w:val="32"/>
          <w:szCs w:val="32"/>
          <w:lang w:val="en-US" w:eastAsia="zh-CN"/>
        </w:rPr>
        <w:t>组织评价</w:t>
      </w:r>
      <w:r>
        <w:rPr>
          <w:rFonts w:hint="eastAsia" w:ascii="Times New Roman" w:hAnsi="Times New Roman" w:eastAsia="仿宋_GB2312" w:cs="仿宋_GB2312"/>
          <w:color w:val="000000"/>
          <w:sz w:val="32"/>
          <w:szCs w:val="32"/>
        </w:rPr>
        <w:t>指标</w:t>
      </w:r>
      <w:r>
        <w:rPr>
          <w:rFonts w:hint="eastAsia" w:ascii="Times New Roman" w:hAnsi="Times New Roman" w:eastAsia="仿宋_GB2312" w:cs="仿宋_GB2312"/>
          <w:color w:val="000000"/>
          <w:sz w:val="32"/>
          <w:szCs w:val="32"/>
          <w:lang w:val="en-US" w:eastAsia="zh-CN"/>
        </w:rPr>
        <w:t>及</w:t>
      </w:r>
      <w:r>
        <w:rPr>
          <w:rFonts w:hint="eastAsia" w:ascii="Times New Roman" w:hAnsi="Times New Roman" w:eastAsia="仿宋_GB2312" w:cs="仿宋_GB2312"/>
          <w:color w:val="000000"/>
          <w:sz w:val="32"/>
          <w:szCs w:val="32"/>
        </w:rPr>
        <w:t>分值分布如表1所示。</w:t>
      </w:r>
    </w:p>
    <w:p>
      <w:pPr>
        <w:pStyle w:val="7"/>
        <w:shd w:val="clear" w:color="auto" w:fill="FFFFFF"/>
        <w:spacing w:before="0" w:beforeAutospacing="0" w:after="0" w:afterAutospacing="0" w:line="26" w:lineRule="atLeast"/>
        <w:jc w:val="center"/>
        <w:rPr>
          <w:rFonts w:hint="eastAsia" w:ascii="Times New Roman" w:hAnsi="Times New Roman" w:eastAsia="仿宋_GB2312" w:cs="仿宋_GB2312"/>
          <w:color w:val="000000"/>
        </w:rPr>
      </w:pPr>
    </w:p>
    <w:p>
      <w:pPr>
        <w:pStyle w:val="7"/>
        <w:shd w:val="clear" w:color="auto" w:fill="FFFFFF"/>
        <w:spacing w:before="0" w:beforeAutospacing="0" w:after="0" w:afterAutospacing="0" w:line="26" w:lineRule="atLeast"/>
        <w:jc w:val="center"/>
        <w:rPr>
          <w:rFonts w:ascii="Times New Roman" w:hAnsi="Times New Roman" w:eastAsia="仿宋" w:cs="仿宋_GB2312"/>
          <w:color w:val="000000"/>
          <w:sz w:val="28"/>
          <w:szCs w:val="28"/>
        </w:rPr>
      </w:pPr>
      <w:r>
        <w:rPr>
          <w:rFonts w:hint="eastAsia" w:ascii="Times New Roman" w:hAnsi="Times New Roman" w:eastAsia="仿宋_GB2312" w:cs="仿宋_GB2312"/>
          <w:color w:val="000000"/>
          <w:sz w:val="28"/>
          <w:szCs w:val="28"/>
        </w:rPr>
        <w:t xml:space="preserve">表1 </w:t>
      </w:r>
      <w:r>
        <w:rPr>
          <w:rFonts w:hint="eastAsia" w:ascii="Times New Roman" w:hAnsi="Times New Roman" w:cs="仿宋_GB2312"/>
          <w:color w:val="000000"/>
          <w:sz w:val="28"/>
          <w:szCs w:val="28"/>
          <w:lang w:val="en-US" w:eastAsia="zh-CN"/>
        </w:rPr>
        <w:t xml:space="preserve"> </w:t>
      </w:r>
      <w:r>
        <w:rPr>
          <w:rFonts w:hint="eastAsia" w:ascii="Times New Roman" w:hAnsi="Times New Roman" w:eastAsia="仿宋_GB2312" w:cs="仿宋_GB2312"/>
          <w:color w:val="000000"/>
          <w:sz w:val="28"/>
          <w:szCs w:val="28"/>
        </w:rPr>
        <w:t>广东省政府质量奖制造业、服务业、工程建设业评</w:t>
      </w:r>
      <w:r>
        <w:rPr>
          <w:rFonts w:hint="eastAsia" w:ascii="Times New Roman" w:hAnsi="Times New Roman" w:eastAsia="仿宋_GB2312" w:cs="仿宋_GB2312"/>
          <w:color w:val="000000"/>
          <w:sz w:val="28"/>
          <w:szCs w:val="28"/>
          <w:lang w:val="en-US"/>
        </w:rPr>
        <w:t>价</w:t>
      </w:r>
      <w:r>
        <w:rPr>
          <w:rFonts w:hint="eastAsia" w:ascii="Times New Roman" w:hAnsi="Times New Roman" w:eastAsia="仿宋_GB2312" w:cs="仿宋_GB2312"/>
          <w:color w:val="000000"/>
          <w:sz w:val="28"/>
          <w:szCs w:val="28"/>
        </w:rPr>
        <w:t>指标</w:t>
      </w:r>
    </w:p>
    <w:tbl>
      <w:tblPr>
        <w:tblStyle w:val="9"/>
        <w:tblW w:w="91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80"/>
        <w:gridCol w:w="62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880" w:type="dxa"/>
            <w:vAlign w:val="center"/>
          </w:tcPr>
          <w:p>
            <w:pPr>
              <w:pStyle w:val="7"/>
              <w:widowControl w:val="0"/>
              <w:wordWrap/>
              <w:adjustRightInd/>
              <w:snapToGrid/>
              <w:spacing w:before="0" w:beforeAutospacing="0" w:after="0" w:afterAutospacing="0" w:line="360" w:lineRule="exact"/>
              <w:jc w:val="center"/>
              <w:textAlignment w:val="auto"/>
              <w:rPr>
                <w:rFonts w:hint="eastAsia" w:ascii="黑体" w:hAnsi="黑体" w:eastAsia="黑体" w:cs="黑体"/>
                <w:b w:val="0"/>
                <w:bCs w:val="0"/>
                <w:color w:val="000000"/>
                <w:spacing w:val="0"/>
                <w:w w:val="100"/>
                <w:sz w:val="24"/>
                <w:szCs w:val="24"/>
              </w:rPr>
            </w:pPr>
            <w:r>
              <w:rPr>
                <w:rFonts w:hint="eastAsia" w:ascii="黑体" w:hAnsi="黑体" w:eastAsia="黑体" w:cs="黑体"/>
                <w:b w:val="0"/>
                <w:bCs w:val="0"/>
                <w:color w:val="000000"/>
                <w:spacing w:val="0"/>
                <w:w w:val="100"/>
                <w:sz w:val="24"/>
                <w:szCs w:val="24"/>
              </w:rPr>
              <w:t>一级评价指标</w:t>
            </w:r>
          </w:p>
        </w:tc>
        <w:tc>
          <w:tcPr>
            <w:tcW w:w="6288" w:type="dxa"/>
            <w:vAlign w:val="center"/>
          </w:tcPr>
          <w:p>
            <w:pPr>
              <w:pStyle w:val="7"/>
              <w:widowControl w:val="0"/>
              <w:wordWrap/>
              <w:adjustRightInd/>
              <w:snapToGrid/>
              <w:spacing w:before="0" w:beforeAutospacing="0" w:after="0" w:afterAutospacing="0" w:line="360" w:lineRule="exact"/>
              <w:jc w:val="center"/>
              <w:textAlignment w:val="auto"/>
              <w:rPr>
                <w:rFonts w:hint="eastAsia" w:ascii="黑体" w:hAnsi="黑体" w:eastAsia="黑体" w:cs="黑体"/>
                <w:b w:val="0"/>
                <w:bCs w:val="0"/>
                <w:color w:val="000000"/>
                <w:spacing w:val="0"/>
                <w:w w:val="100"/>
                <w:sz w:val="24"/>
                <w:szCs w:val="24"/>
              </w:rPr>
            </w:pPr>
            <w:r>
              <w:rPr>
                <w:rFonts w:hint="eastAsia" w:ascii="黑体" w:hAnsi="黑体" w:eastAsia="黑体" w:cs="黑体"/>
                <w:b w:val="0"/>
                <w:bCs w:val="0"/>
                <w:color w:val="000000"/>
                <w:spacing w:val="0"/>
                <w:w w:val="100"/>
                <w:sz w:val="24"/>
                <w:szCs w:val="24"/>
              </w:rPr>
              <w:t>二级评价指标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880" w:type="dxa"/>
            <w:vMerge w:val="restart"/>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rPr>
              <w:t>1.领导（150分）</w:t>
            </w:r>
          </w:p>
        </w:tc>
        <w:tc>
          <w:tcPr>
            <w:tcW w:w="6288" w:type="dxa"/>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rPr>
              <w:t>1.1</w:t>
            </w:r>
            <w:r>
              <w:rPr>
                <w:rFonts w:hint="default" w:ascii="Times New Roman" w:hAnsi="Times New Roman" w:eastAsia="宋体" w:cs="Times New Roman"/>
                <w:color w:val="000000"/>
                <w:spacing w:val="0"/>
                <w:w w:val="100"/>
                <w:sz w:val="24"/>
                <w:szCs w:val="24"/>
                <w:lang w:val="en-US" w:eastAsia="zh-CN"/>
              </w:rPr>
              <w:t>企业家精神（30分）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880" w:type="dxa"/>
            <w:vMerge w:val="continue"/>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p>
        </w:tc>
        <w:tc>
          <w:tcPr>
            <w:tcW w:w="6288" w:type="dxa"/>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rPr>
              <w:t>1.2组织文化（</w:t>
            </w:r>
            <w:r>
              <w:rPr>
                <w:rFonts w:hint="default" w:ascii="Times New Roman" w:hAnsi="Times New Roman" w:eastAsia="宋体" w:cs="Times New Roman"/>
                <w:color w:val="000000"/>
                <w:spacing w:val="0"/>
                <w:w w:val="100"/>
                <w:sz w:val="24"/>
                <w:szCs w:val="24"/>
                <w:lang w:val="en-US" w:eastAsia="zh-CN"/>
              </w:rPr>
              <w:t>3</w:t>
            </w:r>
            <w:r>
              <w:rPr>
                <w:rFonts w:hint="default" w:ascii="Times New Roman" w:hAnsi="Times New Roman" w:eastAsia="宋体" w:cs="Times New Roman"/>
                <w:color w:val="000000"/>
                <w:spacing w:val="0"/>
                <w:w w:val="100"/>
                <w:sz w:val="24"/>
                <w:szCs w:val="24"/>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880" w:type="dxa"/>
            <w:vMerge w:val="continue"/>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p>
        </w:tc>
        <w:tc>
          <w:tcPr>
            <w:tcW w:w="6288" w:type="dxa"/>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rPr>
              <w:t>1.3战略管理（</w:t>
            </w:r>
            <w:r>
              <w:rPr>
                <w:rFonts w:hint="default" w:ascii="Times New Roman" w:hAnsi="Times New Roman" w:eastAsia="宋体" w:cs="Times New Roman"/>
                <w:color w:val="000000"/>
                <w:spacing w:val="0"/>
                <w:w w:val="100"/>
                <w:sz w:val="24"/>
                <w:szCs w:val="24"/>
                <w:lang w:val="en-US" w:eastAsia="zh-CN"/>
              </w:rPr>
              <w:t>3</w:t>
            </w:r>
            <w:r>
              <w:rPr>
                <w:rFonts w:hint="default" w:ascii="Times New Roman" w:hAnsi="Times New Roman" w:eastAsia="宋体" w:cs="Times New Roman"/>
                <w:color w:val="000000"/>
                <w:spacing w:val="0"/>
                <w:w w:val="100"/>
                <w:sz w:val="24"/>
                <w:szCs w:val="24"/>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880" w:type="dxa"/>
            <w:vMerge w:val="continue"/>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p>
        </w:tc>
        <w:tc>
          <w:tcPr>
            <w:tcW w:w="6288" w:type="dxa"/>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rPr>
              <w:t>1.4组织治理（30分）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880" w:type="dxa"/>
            <w:vMerge w:val="continue"/>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p>
        </w:tc>
        <w:tc>
          <w:tcPr>
            <w:tcW w:w="6288" w:type="dxa"/>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lang w:val="en-US" w:eastAsia="zh-CN"/>
              </w:rPr>
              <w:t>1.5</w:t>
            </w:r>
            <w:r>
              <w:rPr>
                <w:rFonts w:hint="default" w:ascii="Times New Roman" w:hAnsi="Times New Roman" w:eastAsia="宋体" w:cs="Times New Roman"/>
                <w:color w:val="000000"/>
                <w:spacing w:val="0"/>
                <w:w w:val="100"/>
                <w:sz w:val="24"/>
                <w:szCs w:val="24"/>
              </w:rPr>
              <w:t>社会责任（30分）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880" w:type="dxa"/>
            <w:vMerge w:val="restart"/>
            <w:vAlign w:val="center"/>
          </w:tcPr>
          <w:p>
            <w:pPr>
              <w:pStyle w:val="7"/>
              <w:widowControl w:val="0"/>
              <w:wordWrap/>
              <w:adjustRightInd/>
              <w:snapToGrid/>
              <w:spacing w:before="0" w:beforeAutospacing="0" w:after="0" w:afterAutospacing="0" w:line="38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rPr>
              <w:t>2.质量（3</w:t>
            </w:r>
            <w:r>
              <w:rPr>
                <w:rFonts w:hint="default" w:ascii="Times New Roman" w:hAnsi="Times New Roman" w:eastAsia="宋体" w:cs="Times New Roman"/>
                <w:color w:val="000000"/>
                <w:spacing w:val="0"/>
                <w:w w:val="100"/>
                <w:sz w:val="24"/>
                <w:szCs w:val="24"/>
                <w:lang w:val="en-US" w:eastAsia="zh-CN"/>
              </w:rPr>
              <w:t>00</w:t>
            </w:r>
            <w:r>
              <w:rPr>
                <w:rFonts w:hint="default" w:ascii="Times New Roman" w:hAnsi="Times New Roman" w:eastAsia="宋体" w:cs="Times New Roman"/>
                <w:color w:val="000000"/>
                <w:spacing w:val="0"/>
                <w:w w:val="100"/>
                <w:sz w:val="24"/>
                <w:szCs w:val="24"/>
              </w:rPr>
              <w:t>分）</w:t>
            </w:r>
          </w:p>
        </w:tc>
        <w:tc>
          <w:tcPr>
            <w:tcW w:w="6288" w:type="dxa"/>
            <w:vAlign w:val="center"/>
          </w:tcPr>
          <w:p>
            <w:pPr>
              <w:pStyle w:val="7"/>
              <w:widowControl w:val="0"/>
              <w:wordWrap/>
              <w:adjustRightInd/>
              <w:snapToGrid/>
              <w:spacing w:before="0" w:beforeAutospacing="0" w:after="0" w:afterAutospacing="0" w:line="380" w:lineRule="exact"/>
              <w:ind w:left="0" w:leftChars="0" w:right="0"/>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spacing w:val="0"/>
                <w:w w:val="100"/>
                <w:sz w:val="24"/>
                <w:szCs w:val="24"/>
                <w:lang w:val="en-US" w:eastAsia="zh-CN"/>
              </w:rPr>
              <w:t>2</w:t>
            </w:r>
            <w:r>
              <w:rPr>
                <w:rFonts w:hint="default" w:ascii="Times New Roman" w:hAnsi="Times New Roman" w:eastAsia="宋体" w:cs="Times New Roman"/>
                <w:spacing w:val="0"/>
                <w:w w:val="100"/>
                <w:sz w:val="24"/>
                <w:szCs w:val="24"/>
              </w:rPr>
              <w:t>.1管理体系</w:t>
            </w:r>
            <w:r>
              <w:rPr>
                <w:rFonts w:hint="default" w:ascii="Times New Roman" w:hAnsi="Times New Roman" w:eastAsia="宋体" w:cs="Times New Roman"/>
                <w:color w:val="000000"/>
                <w:spacing w:val="0"/>
                <w:w w:val="100"/>
                <w:sz w:val="24"/>
                <w:szCs w:val="24"/>
              </w:rPr>
              <w:t>（50分）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880" w:type="dxa"/>
            <w:vMerge w:val="continue"/>
            <w:vAlign w:val="center"/>
          </w:tcPr>
          <w:p>
            <w:pPr>
              <w:pStyle w:val="7"/>
              <w:widowControl w:val="0"/>
              <w:wordWrap/>
              <w:adjustRightInd/>
              <w:snapToGrid/>
              <w:spacing w:before="0" w:beforeAutospacing="0" w:after="0" w:afterAutospacing="0" w:line="380" w:lineRule="exact"/>
              <w:jc w:val="center"/>
              <w:textAlignment w:val="auto"/>
              <w:rPr>
                <w:rFonts w:hint="default" w:ascii="Times New Roman" w:hAnsi="Times New Roman" w:eastAsia="宋体" w:cs="Times New Roman"/>
                <w:color w:val="000000"/>
                <w:spacing w:val="0"/>
                <w:w w:val="100"/>
                <w:sz w:val="24"/>
                <w:szCs w:val="24"/>
              </w:rPr>
            </w:pPr>
          </w:p>
        </w:tc>
        <w:tc>
          <w:tcPr>
            <w:tcW w:w="6288" w:type="dxa"/>
            <w:vAlign w:val="center"/>
          </w:tcPr>
          <w:p>
            <w:pPr>
              <w:pStyle w:val="7"/>
              <w:widowControl w:val="0"/>
              <w:wordWrap/>
              <w:adjustRightInd/>
              <w:snapToGrid/>
              <w:spacing w:before="0" w:beforeAutospacing="0" w:after="0" w:afterAutospacing="0" w:line="380" w:lineRule="exact"/>
              <w:ind w:left="0" w:leftChars="0" w:right="0"/>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spacing w:val="0"/>
                <w:w w:val="100"/>
                <w:sz w:val="24"/>
                <w:szCs w:val="24"/>
                <w:lang w:val="en-US" w:eastAsia="zh-CN"/>
              </w:rPr>
              <w:t>2</w:t>
            </w:r>
            <w:r>
              <w:rPr>
                <w:rFonts w:hint="default" w:ascii="Times New Roman" w:hAnsi="Times New Roman" w:eastAsia="宋体" w:cs="Times New Roman"/>
                <w:spacing w:val="0"/>
                <w:w w:val="100"/>
                <w:sz w:val="24"/>
                <w:szCs w:val="24"/>
              </w:rPr>
              <w:t>.2顾客需求</w:t>
            </w:r>
            <w:r>
              <w:rPr>
                <w:rFonts w:hint="default" w:ascii="Times New Roman" w:hAnsi="Times New Roman" w:eastAsia="宋体" w:cs="Times New Roman"/>
                <w:color w:val="000000"/>
                <w:spacing w:val="0"/>
                <w:w w:val="100"/>
                <w:sz w:val="24"/>
                <w:szCs w:val="24"/>
              </w:rPr>
              <w:t>（</w:t>
            </w:r>
            <w:r>
              <w:rPr>
                <w:rFonts w:hint="default" w:ascii="Times New Roman" w:hAnsi="Times New Roman" w:eastAsia="宋体" w:cs="Times New Roman"/>
                <w:color w:val="000000"/>
                <w:spacing w:val="0"/>
                <w:w w:val="100"/>
                <w:sz w:val="24"/>
                <w:szCs w:val="24"/>
                <w:lang w:val="en-US" w:eastAsia="zh-CN"/>
              </w:rPr>
              <w:t>4</w:t>
            </w:r>
            <w:r>
              <w:rPr>
                <w:rFonts w:hint="default" w:ascii="Times New Roman" w:hAnsi="Times New Roman" w:eastAsia="宋体" w:cs="Times New Roman"/>
                <w:color w:val="000000"/>
                <w:spacing w:val="0"/>
                <w:w w:val="100"/>
                <w:sz w:val="24"/>
                <w:szCs w:val="24"/>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880" w:type="dxa"/>
            <w:vMerge w:val="continue"/>
            <w:vAlign w:val="center"/>
          </w:tcPr>
          <w:p>
            <w:pPr>
              <w:pStyle w:val="7"/>
              <w:widowControl w:val="0"/>
              <w:wordWrap/>
              <w:adjustRightInd/>
              <w:snapToGrid/>
              <w:spacing w:before="0" w:beforeAutospacing="0" w:after="0" w:afterAutospacing="0" w:line="380" w:lineRule="exact"/>
              <w:jc w:val="center"/>
              <w:textAlignment w:val="auto"/>
              <w:rPr>
                <w:rFonts w:hint="default" w:ascii="Times New Roman" w:hAnsi="Times New Roman" w:eastAsia="宋体" w:cs="Times New Roman"/>
                <w:color w:val="000000"/>
                <w:spacing w:val="0"/>
                <w:w w:val="100"/>
                <w:sz w:val="24"/>
                <w:szCs w:val="24"/>
              </w:rPr>
            </w:pPr>
          </w:p>
        </w:tc>
        <w:tc>
          <w:tcPr>
            <w:tcW w:w="6288" w:type="dxa"/>
            <w:vAlign w:val="center"/>
          </w:tcPr>
          <w:p>
            <w:pPr>
              <w:pStyle w:val="7"/>
              <w:widowControl w:val="0"/>
              <w:wordWrap/>
              <w:adjustRightInd/>
              <w:snapToGrid/>
              <w:spacing w:before="0" w:beforeAutospacing="0" w:after="0" w:afterAutospacing="0" w:line="380" w:lineRule="exact"/>
              <w:ind w:left="0" w:leftChars="0" w:right="0"/>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spacing w:val="0"/>
                <w:w w:val="100"/>
                <w:sz w:val="24"/>
                <w:szCs w:val="24"/>
                <w:lang w:val="en-US" w:eastAsia="zh-CN"/>
              </w:rPr>
              <w:t>2</w:t>
            </w:r>
            <w:r>
              <w:rPr>
                <w:rFonts w:hint="default" w:ascii="Times New Roman" w:hAnsi="Times New Roman" w:eastAsia="宋体" w:cs="Times New Roman"/>
                <w:spacing w:val="0"/>
                <w:w w:val="100"/>
                <w:sz w:val="24"/>
                <w:szCs w:val="24"/>
              </w:rPr>
              <w:t>.3质量协同</w:t>
            </w:r>
            <w:r>
              <w:rPr>
                <w:rFonts w:hint="default" w:ascii="Times New Roman" w:hAnsi="Times New Roman" w:eastAsia="宋体" w:cs="Times New Roman"/>
                <w:color w:val="000000"/>
                <w:spacing w:val="0"/>
                <w:w w:val="100"/>
                <w:sz w:val="24"/>
                <w:szCs w:val="24"/>
              </w:rPr>
              <w:t>（</w:t>
            </w:r>
            <w:r>
              <w:rPr>
                <w:rFonts w:hint="default" w:ascii="Times New Roman" w:hAnsi="Times New Roman" w:eastAsia="宋体" w:cs="Times New Roman"/>
                <w:color w:val="000000"/>
                <w:spacing w:val="0"/>
                <w:w w:val="100"/>
                <w:sz w:val="24"/>
                <w:szCs w:val="24"/>
                <w:lang w:val="en-US" w:eastAsia="zh-CN"/>
              </w:rPr>
              <w:t>4</w:t>
            </w:r>
            <w:r>
              <w:rPr>
                <w:rFonts w:hint="default" w:ascii="Times New Roman" w:hAnsi="Times New Roman" w:eastAsia="宋体" w:cs="Times New Roman"/>
                <w:color w:val="000000"/>
                <w:spacing w:val="0"/>
                <w:w w:val="100"/>
                <w:sz w:val="24"/>
                <w:szCs w:val="24"/>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880" w:type="dxa"/>
            <w:vMerge w:val="continue"/>
            <w:vAlign w:val="center"/>
          </w:tcPr>
          <w:p>
            <w:pPr>
              <w:pStyle w:val="7"/>
              <w:widowControl w:val="0"/>
              <w:wordWrap/>
              <w:adjustRightInd/>
              <w:snapToGrid/>
              <w:spacing w:before="0" w:beforeAutospacing="0" w:after="0" w:afterAutospacing="0" w:line="380" w:lineRule="exact"/>
              <w:jc w:val="center"/>
              <w:textAlignment w:val="auto"/>
              <w:rPr>
                <w:rFonts w:hint="default" w:ascii="Times New Roman" w:hAnsi="Times New Roman" w:eastAsia="宋体" w:cs="Times New Roman"/>
                <w:color w:val="000000"/>
                <w:spacing w:val="0"/>
                <w:w w:val="100"/>
                <w:sz w:val="24"/>
                <w:szCs w:val="24"/>
              </w:rPr>
            </w:pPr>
          </w:p>
        </w:tc>
        <w:tc>
          <w:tcPr>
            <w:tcW w:w="6288" w:type="dxa"/>
            <w:vAlign w:val="center"/>
          </w:tcPr>
          <w:p>
            <w:pPr>
              <w:pStyle w:val="7"/>
              <w:widowControl w:val="0"/>
              <w:wordWrap/>
              <w:adjustRightInd/>
              <w:snapToGrid/>
              <w:spacing w:before="0" w:beforeAutospacing="0" w:after="0" w:afterAutospacing="0" w:line="380" w:lineRule="exact"/>
              <w:ind w:left="0" w:leftChars="0" w:right="0"/>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spacing w:val="0"/>
                <w:w w:val="100"/>
                <w:sz w:val="24"/>
                <w:szCs w:val="24"/>
                <w:lang w:val="en-US" w:eastAsia="zh-CN"/>
              </w:rPr>
              <w:t>2</w:t>
            </w:r>
            <w:r>
              <w:rPr>
                <w:rFonts w:hint="default" w:ascii="Times New Roman" w:hAnsi="Times New Roman" w:eastAsia="宋体" w:cs="Times New Roman"/>
                <w:spacing w:val="0"/>
                <w:w w:val="100"/>
                <w:sz w:val="24"/>
                <w:szCs w:val="24"/>
              </w:rPr>
              <w:t>.4质量基础</w:t>
            </w:r>
            <w:r>
              <w:rPr>
                <w:rFonts w:hint="default" w:ascii="Times New Roman" w:hAnsi="Times New Roman" w:eastAsia="宋体" w:cs="Times New Roman"/>
                <w:color w:val="000000"/>
                <w:spacing w:val="0"/>
                <w:w w:val="100"/>
                <w:sz w:val="24"/>
                <w:szCs w:val="24"/>
              </w:rPr>
              <w:t>（</w:t>
            </w:r>
            <w:r>
              <w:rPr>
                <w:rFonts w:hint="default" w:ascii="Times New Roman" w:hAnsi="Times New Roman" w:eastAsia="宋体" w:cs="Times New Roman"/>
                <w:color w:val="000000"/>
                <w:spacing w:val="0"/>
                <w:w w:val="100"/>
                <w:sz w:val="24"/>
                <w:szCs w:val="24"/>
                <w:lang w:val="en-US" w:eastAsia="zh-CN"/>
              </w:rPr>
              <w:t>4</w:t>
            </w:r>
            <w:r>
              <w:rPr>
                <w:rFonts w:hint="default" w:ascii="Times New Roman" w:hAnsi="Times New Roman" w:eastAsia="宋体" w:cs="Times New Roman"/>
                <w:color w:val="000000"/>
                <w:spacing w:val="0"/>
                <w:w w:val="100"/>
                <w:sz w:val="24"/>
                <w:szCs w:val="24"/>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880" w:type="dxa"/>
            <w:vMerge w:val="continue"/>
            <w:vAlign w:val="center"/>
          </w:tcPr>
          <w:p>
            <w:pPr>
              <w:pStyle w:val="7"/>
              <w:widowControl w:val="0"/>
              <w:wordWrap/>
              <w:adjustRightInd/>
              <w:snapToGrid/>
              <w:spacing w:before="0" w:beforeAutospacing="0" w:after="0" w:afterAutospacing="0" w:line="380" w:lineRule="exact"/>
              <w:jc w:val="center"/>
              <w:textAlignment w:val="auto"/>
              <w:rPr>
                <w:rFonts w:hint="default" w:ascii="Times New Roman" w:hAnsi="Times New Roman" w:eastAsia="宋体" w:cs="Times New Roman"/>
                <w:color w:val="000000"/>
                <w:spacing w:val="0"/>
                <w:w w:val="100"/>
                <w:sz w:val="24"/>
                <w:szCs w:val="24"/>
              </w:rPr>
            </w:pPr>
          </w:p>
        </w:tc>
        <w:tc>
          <w:tcPr>
            <w:tcW w:w="6288" w:type="dxa"/>
            <w:vAlign w:val="center"/>
          </w:tcPr>
          <w:p>
            <w:pPr>
              <w:pStyle w:val="7"/>
              <w:widowControl w:val="0"/>
              <w:wordWrap/>
              <w:adjustRightInd/>
              <w:snapToGrid/>
              <w:spacing w:before="0" w:beforeAutospacing="0" w:after="0" w:afterAutospacing="0" w:line="380" w:lineRule="exact"/>
              <w:ind w:left="0" w:leftChars="0" w:right="0"/>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spacing w:val="0"/>
                <w:w w:val="100"/>
                <w:sz w:val="24"/>
                <w:szCs w:val="24"/>
                <w:lang w:val="en-US" w:eastAsia="zh-CN"/>
              </w:rPr>
              <w:t>2</w:t>
            </w:r>
            <w:r>
              <w:rPr>
                <w:rFonts w:hint="default" w:ascii="Times New Roman" w:hAnsi="Times New Roman" w:eastAsia="宋体" w:cs="Times New Roman"/>
                <w:spacing w:val="0"/>
                <w:w w:val="100"/>
                <w:sz w:val="24"/>
                <w:szCs w:val="24"/>
              </w:rPr>
              <w:t>.5教育培训</w:t>
            </w:r>
            <w:r>
              <w:rPr>
                <w:rFonts w:hint="default" w:ascii="Times New Roman" w:hAnsi="Times New Roman" w:eastAsia="宋体" w:cs="Times New Roman"/>
                <w:color w:val="000000"/>
                <w:spacing w:val="0"/>
                <w:w w:val="100"/>
                <w:sz w:val="24"/>
                <w:szCs w:val="24"/>
              </w:rPr>
              <w:t>（</w:t>
            </w:r>
            <w:r>
              <w:rPr>
                <w:rFonts w:hint="default" w:ascii="Times New Roman" w:hAnsi="Times New Roman" w:eastAsia="宋体" w:cs="Times New Roman"/>
                <w:color w:val="000000"/>
                <w:spacing w:val="0"/>
                <w:w w:val="100"/>
                <w:sz w:val="24"/>
                <w:szCs w:val="24"/>
                <w:lang w:val="en-US" w:eastAsia="zh-CN"/>
              </w:rPr>
              <w:t>4</w:t>
            </w:r>
            <w:r>
              <w:rPr>
                <w:rFonts w:hint="default" w:ascii="Times New Roman" w:hAnsi="Times New Roman" w:eastAsia="宋体" w:cs="Times New Roman"/>
                <w:color w:val="000000"/>
                <w:spacing w:val="0"/>
                <w:w w:val="100"/>
                <w:sz w:val="24"/>
                <w:szCs w:val="24"/>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880" w:type="dxa"/>
            <w:vMerge w:val="continue"/>
            <w:vAlign w:val="center"/>
          </w:tcPr>
          <w:p>
            <w:pPr>
              <w:pStyle w:val="7"/>
              <w:widowControl w:val="0"/>
              <w:wordWrap/>
              <w:adjustRightInd/>
              <w:snapToGrid/>
              <w:spacing w:before="0" w:beforeAutospacing="0" w:after="0" w:afterAutospacing="0" w:line="380" w:lineRule="exact"/>
              <w:jc w:val="center"/>
              <w:textAlignment w:val="auto"/>
              <w:rPr>
                <w:rFonts w:hint="default" w:ascii="Times New Roman" w:hAnsi="Times New Roman" w:eastAsia="宋体" w:cs="Times New Roman"/>
                <w:color w:val="000000"/>
                <w:spacing w:val="0"/>
                <w:w w:val="100"/>
                <w:sz w:val="24"/>
                <w:szCs w:val="24"/>
              </w:rPr>
            </w:pPr>
          </w:p>
        </w:tc>
        <w:tc>
          <w:tcPr>
            <w:tcW w:w="6288" w:type="dxa"/>
            <w:vAlign w:val="center"/>
          </w:tcPr>
          <w:p>
            <w:pPr>
              <w:pStyle w:val="7"/>
              <w:widowControl w:val="0"/>
              <w:wordWrap/>
              <w:adjustRightInd/>
              <w:snapToGrid/>
              <w:spacing w:before="0" w:beforeAutospacing="0" w:after="0" w:afterAutospacing="0" w:line="380" w:lineRule="exact"/>
              <w:ind w:left="0" w:leftChars="0" w:right="0"/>
              <w:jc w:val="center"/>
              <w:textAlignment w:val="auto"/>
              <w:rPr>
                <w:rFonts w:hint="default" w:ascii="Times New Roman" w:hAnsi="Times New Roman" w:eastAsia="宋体" w:cs="Times New Roman"/>
                <w:spacing w:val="0"/>
                <w:w w:val="100"/>
                <w:sz w:val="24"/>
                <w:szCs w:val="24"/>
                <w:lang w:val="en-US" w:eastAsia="zh-CN"/>
              </w:rPr>
            </w:pPr>
            <w:r>
              <w:rPr>
                <w:rFonts w:hint="default" w:ascii="Times New Roman" w:hAnsi="Times New Roman" w:eastAsia="宋体" w:cs="Times New Roman"/>
                <w:spacing w:val="0"/>
                <w:w w:val="100"/>
                <w:sz w:val="24"/>
                <w:szCs w:val="24"/>
                <w:lang w:val="en-US" w:eastAsia="zh-CN"/>
              </w:rPr>
              <w:t>2</w:t>
            </w:r>
            <w:r>
              <w:rPr>
                <w:rFonts w:hint="default" w:ascii="Times New Roman" w:hAnsi="Times New Roman" w:eastAsia="宋体" w:cs="Times New Roman"/>
                <w:spacing w:val="0"/>
                <w:w w:val="100"/>
                <w:sz w:val="24"/>
                <w:szCs w:val="24"/>
              </w:rPr>
              <w:t>.6</w:t>
            </w:r>
            <w:r>
              <w:rPr>
                <w:rFonts w:hint="default" w:ascii="Times New Roman" w:hAnsi="Times New Roman" w:eastAsia="宋体" w:cs="Times New Roman"/>
                <w:spacing w:val="0"/>
                <w:w w:val="100"/>
                <w:sz w:val="24"/>
                <w:szCs w:val="24"/>
                <w:lang w:val="en-US" w:eastAsia="zh-CN"/>
              </w:rPr>
              <w:t>工匠精神（40分）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880" w:type="dxa"/>
            <w:vMerge w:val="continue"/>
            <w:vAlign w:val="center"/>
          </w:tcPr>
          <w:p>
            <w:pPr>
              <w:pStyle w:val="7"/>
              <w:widowControl w:val="0"/>
              <w:wordWrap/>
              <w:adjustRightInd/>
              <w:snapToGrid/>
              <w:spacing w:before="0" w:beforeAutospacing="0" w:after="0" w:afterAutospacing="0" w:line="380" w:lineRule="exact"/>
              <w:jc w:val="center"/>
              <w:textAlignment w:val="auto"/>
              <w:rPr>
                <w:rFonts w:hint="default" w:ascii="Times New Roman" w:hAnsi="Times New Roman" w:eastAsia="宋体" w:cs="Times New Roman"/>
                <w:color w:val="000000"/>
                <w:spacing w:val="0"/>
                <w:w w:val="100"/>
                <w:sz w:val="24"/>
                <w:szCs w:val="24"/>
              </w:rPr>
            </w:pPr>
          </w:p>
        </w:tc>
        <w:tc>
          <w:tcPr>
            <w:tcW w:w="6288" w:type="dxa"/>
            <w:vAlign w:val="center"/>
          </w:tcPr>
          <w:p>
            <w:pPr>
              <w:pStyle w:val="7"/>
              <w:widowControl w:val="0"/>
              <w:wordWrap/>
              <w:adjustRightInd/>
              <w:snapToGrid/>
              <w:spacing w:before="0" w:beforeAutospacing="0" w:after="0" w:afterAutospacing="0" w:line="380" w:lineRule="exact"/>
              <w:ind w:left="0" w:leftChars="0" w:right="0"/>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spacing w:val="0"/>
                <w:w w:val="100"/>
                <w:sz w:val="24"/>
                <w:szCs w:val="24"/>
                <w:lang w:val="en-US" w:eastAsia="zh-CN"/>
              </w:rPr>
              <w:t>2.7</w:t>
            </w:r>
            <w:r>
              <w:rPr>
                <w:rFonts w:hint="default" w:ascii="Times New Roman" w:hAnsi="Times New Roman" w:eastAsia="宋体" w:cs="Times New Roman"/>
                <w:spacing w:val="0"/>
                <w:w w:val="100"/>
                <w:sz w:val="24"/>
                <w:szCs w:val="24"/>
              </w:rPr>
              <w:t>质量</w:t>
            </w:r>
            <w:r>
              <w:rPr>
                <w:rFonts w:hint="default" w:ascii="Times New Roman" w:hAnsi="Times New Roman" w:eastAsia="宋体" w:cs="Times New Roman"/>
                <w:spacing w:val="0"/>
                <w:w w:val="100"/>
                <w:sz w:val="24"/>
                <w:szCs w:val="24"/>
                <w:lang w:val="en-US" w:eastAsia="zh-CN"/>
              </w:rPr>
              <w:t>变革</w:t>
            </w:r>
            <w:r>
              <w:rPr>
                <w:rFonts w:hint="default" w:ascii="Times New Roman" w:hAnsi="Times New Roman" w:eastAsia="宋体" w:cs="Times New Roman"/>
                <w:color w:val="000000"/>
                <w:spacing w:val="0"/>
                <w:w w:val="100"/>
                <w:sz w:val="24"/>
                <w:szCs w:val="24"/>
              </w:rPr>
              <w:t>（50分）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880" w:type="dxa"/>
            <w:vMerge w:val="restart"/>
            <w:vAlign w:val="center"/>
          </w:tcPr>
          <w:p>
            <w:pPr>
              <w:pStyle w:val="7"/>
              <w:widowControl w:val="0"/>
              <w:wordWrap/>
              <w:adjustRightInd/>
              <w:snapToGrid/>
              <w:spacing w:before="0" w:beforeAutospacing="0" w:after="0" w:afterAutospacing="0" w:line="38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rPr>
              <w:t>3.创新（</w:t>
            </w:r>
            <w:r>
              <w:rPr>
                <w:rFonts w:hint="default" w:ascii="Times New Roman" w:hAnsi="Times New Roman" w:eastAsia="宋体" w:cs="Times New Roman"/>
                <w:color w:val="000000"/>
                <w:spacing w:val="0"/>
                <w:w w:val="100"/>
                <w:sz w:val="24"/>
                <w:szCs w:val="24"/>
                <w:lang w:val="en-US" w:eastAsia="zh-CN"/>
              </w:rPr>
              <w:t>200</w:t>
            </w:r>
            <w:r>
              <w:rPr>
                <w:rFonts w:hint="default" w:ascii="Times New Roman" w:hAnsi="Times New Roman" w:eastAsia="宋体" w:cs="Times New Roman"/>
                <w:color w:val="000000"/>
                <w:spacing w:val="0"/>
                <w:w w:val="100"/>
                <w:sz w:val="24"/>
                <w:szCs w:val="24"/>
              </w:rPr>
              <w:t>分）</w:t>
            </w:r>
          </w:p>
        </w:tc>
        <w:tc>
          <w:tcPr>
            <w:tcW w:w="6288" w:type="dxa"/>
            <w:vAlign w:val="center"/>
          </w:tcPr>
          <w:p>
            <w:pPr>
              <w:pStyle w:val="7"/>
              <w:widowControl w:val="0"/>
              <w:wordWrap/>
              <w:adjustRightInd/>
              <w:snapToGrid/>
              <w:spacing w:before="0" w:beforeAutospacing="0" w:after="0" w:afterAutospacing="0" w:line="380" w:lineRule="exact"/>
              <w:ind w:left="0" w:leftChars="0" w:right="0"/>
              <w:jc w:val="center"/>
              <w:textAlignment w:val="auto"/>
              <w:rPr>
                <w:rFonts w:hint="default" w:ascii="Times New Roman" w:hAnsi="Times New Roman" w:eastAsia="宋体" w:cs="Times New Roman"/>
                <w:color w:val="000000"/>
                <w:spacing w:val="0"/>
                <w:w w:val="100"/>
                <w:kern w:val="0"/>
                <w:sz w:val="24"/>
                <w:szCs w:val="24"/>
                <w:lang w:val="en-US" w:eastAsia="zh-CN"/>
              </w:rPr>
            </w:pPr>
            <w:r>
              <w:rPr>
                <w:rFonts w:hint="default" w:ascii="Times New Roman" w:hAnsi="Times New Roman" w:eastAsia="宋体" w:cs="Times New Roman"/>
                <w:color w:val="000000"/>
                <w:spacing w:val="0"/>
                <w:w w:val="100"/>
                <w:sz w:val="24"/>
                <w:szCs w:val="24"/>
                <w:lang w:val="en-US" w:eastAsia="zh-CN"/>
              </w:rPr>
              <w:t>3</w:t>
            </w:r>
            <w:r>
              <w:rPr>
                <w:rFonts w:hint="default" w:ascii="Times New Roman" w:hAnsi="Times New Roman" w:eastAsia="宋体" w:cs="Times New Roman"/>
                <w:color w:val="000000"/>
                <w:spacing w:val="0"/>
                <w:w w:val="100"/>
                <w:sz w:val="24"/>
                <w:szCs w:val="24"/>
              </w:rPr>
              <w:t>.1</w:t>
            </w:r>
            <w:r>
              <w:rPr>
                <w:rFonts w:hint="default" w:ascii="Times New Roman" w:hAnsi="Times New Roman" w:eastAsia="宋体" w:cs="Times New Roman"/>
                <w:color w:val="000000"/>
                <w:spacing w:val="0"/>
                <w:w w:val="100"/>
                <w:sz w:val="24"/>
                <w:szCs w:val="24"/>
                <w:lang w:val="en-US" w:eastAsia="zh-CN"/>
              </w:rPr>
              <w:t>动力变革</w:t>
            </w:r>
            <w:r>
              <w:rPr>
                <w:rFonts w:hint="default" w:ascii="Times New Roman" w:hAnsi="Times New Roman" w:eastAsia="宋体" w:cs="Times New Roman"/>
                <w:color w:val="000000"/>
                <w:spacing w:val="0"/>
                <w:w w:val="100"/>
                <w:sz w:val="24"/>
                <w:szCs w:val="24"/>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880" w:type="dxa"/>
            <w:vMerge w:val="continue"/>
            <w:vAlign w:val="center"/>
          </w:tcPr>
          <w:p>
            <w:pPr>
              <w:pStyle w:val="7"/>
              <w:widowControl w:val="0"/>
              <w:wordWrap/>
              <w:adjustRightInd/>
              <w:snapToGrid/>
              <w:spacing w:before="0" w:beforeAutospacing="0" w:after="0" w:afterAutospacing="0" w:line="380" w:lineRule="exact"/>
              <w:jc w:val="center"/>
              <w:textAlignment w:val="auto"/>
              <w:rPr>
                <w:rFonts w:hint="default" w:ascii="Times New Roman" w:hAnsi="Times New Roman" w:eastAsia="宋体" w:cs="Times New Roman"/>
                <w:color w:val="000000"/>
                <w:spacing w:val="0"/>
                <w:w w:val="100"/>
                <w:sz w:val="24"/>
                <w:szCs w:val="24"/>
              </w:rPr>
            </w:pPr>
          </w:p>
        </w:tc>
        <w:tc>
          <w:tcPr>
            <w:tcW w:w="6288" w:type="dxa"/>
            <w:vAlign w:val="center"/>
          </w:tcPr>
          <w:p>
            <w:pPr>
              <w:pStyle w:val="7"/>
              <w:widowControl w:val="0"/>
              <w:wordWrap/>
              <w:adjustRightInd/>
              <w:snapToGrid/>
              <w:spacing w:before="0" w:beforeAutospacing="0" w:after="0" w:afterAutospacing="0" w:line="380" w:lineRule="exact"/>
              <w:ind w:left="0" w:leftChars="0" w:right="0"/>
              <w:jc w:val="center"/>
              <w:textAlignment w:val="auto"/>
              <w:rPr>
                <w:rFonts w:hint="default" w:ascii="Times New Roman" w:hAnsi="Times New Roman" w:eastAsia="宋体" w:cs="Times New Roman"/>
                <w:color w:val="000000"/>
                <w:spacing w:val="0"/>
                <w:w w:val="100"/>
                <w:kern w:val="0"/>
                <w:sz w:val="24"/>
                <w:szCs w:val="24"/>
                <w:lang w:val="en-US" w:eastAsia="zh-CN"/>
              </w:rPr>
            </w:pPr>
            <w:r>
              <w:rPr>
                <w:rFonts w:hint="default" w:ascii="Times New Roman" w:hAnsi="Times New Roman" w:eastAsia="宋体" w:cs="Times New Roman"/>
                <w:color w:val="000000"/>
                <w:spacing w:val="0"/>
                <w:w w:val="100"/>
                <w:sz w:val="24"/>
                <w:szCs w:val="24"/>
                <w:lang w:val="en-US" w:eastAsia="zh-CN"/>
              </w:rPr>
              <w:t>3</w:t>
            </w:r>
            <w:r>
              <w:rPr>
                <w:rFonts w:hint="default" w:ascii="Times New Roman" w:hAnsi="Times New Roman" w:eastAsia="宋体" w:cs="Times New Roman"/>
                <w:color w:val="000000"/>
                <w:spacing w:val="0"/>
                <w:w w:val="100"/>
                <w:sz w:val="24"/>
                <w:szCs w:val="24"/>
              </w:rPr>
              <w:t>.2创新能力（80分）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880" w:type="dxa"/>
            <w:vMerge w:val="continue"/>
            <w:vAlign w:val="center"/>
          </w:tcPr>
          <w:p>
            <w:pPr>
              <w:pStyle w:val="7"/>
              <w:widowControl w:val="0"/>
              <w:wordWrap/>
              <w:adjustRightInd/>
              <w:snapToGrid/>
              <w:spacing w:before="0" w:beforeAutospacing="0" w:after="0" w:afterAutospacing="0" w:line="380" w:lineRule="exact"/>
              <w:jc w:val="center"/>
              <w:textAlignment w:val="auto"/>
              <w:rPr>
                <w:rFonts w:hint="default" w:ascii="Times New Roman" w:hAnsi="Times New Roman" w:eastAsia="宋体" w:cs="Times New Roman"/>
                <w:color w:val="000000"/>
                <w:spacing w:val="0"/>
                <w:w w:val="100"/>
                <w:sz w:val="24"/>
                <w:szCs w:val="24"/>
              </w:rPr>
            </w:pPr>
          </w:p>
        </w:tc>
        <w:tc>
          <w:tcPr>
            <w:tcW w:w="6288" w:type="dxa"/>
            <w:vAlign w:val="center"/>
          </w:tcPr>
          <w:p>
            <w:pPr>
              <w:pStyle w:val="7"/>
              <w:widowControl w:val="0"/>
              <w:wordWrap/>
              <w:adjustRightInd/>
              <w:snapToGrid/>
              <w:spacing w:before="0" w:beforeAutospacing="0" w:after="0" w:afterAutospacing="0" w:line="380" w:lineRule="exact"/>
              <w:ind w:left="0" w:leftChars="0" w:right="0"/>
              <w:jc w:val="center"/>
              <w:textAlignment w:val="auto"/>
              <w:rPr>
                <w:rFonts w:hint="default" w:ascii="Times New Roman" w:hAnsi="Times New Roman" w:eastAsia="宋体" w:cs="Times New Roman"/>
                <w:color w:val="000000"/>
                <w:spacing w:val="0"/>
                <w:w w:val="100"/>
                <w:kern w:val="0"/>
                <w:sz w:val="24"/>
                <w:szCs w:val="24"/>
                <w:lang w:val="en-US" w:eastAsia="zh-CN"/>
              </w:rPr>
            </w:pPr>
            <w:r>
              <w:rPr>
                <w:rFonts w:hint="default" w:ascii="Times New Roman" w:hAnsi="Times New Roman" w:eastAsia="宋体" w:cs="Times New Roman"/>
                <w:color w:val="000000"/>
                <w:spacing w:val="0"/>
                <w:w w:val="100"/>
                <w:sz w:val="24"/>
                <w:szCs w:val="24"/>
                <w:lang w:val="en-US" w:eastAsia="zh-CN"/>
              </w:rPr>
              <w:t>3</w:t>
            </w:r>
            <w:r>
              <w:rPr>
                <w:rFonts w:hint="default" w:ascii="Times New Roman" w:hAnsi="Times New Roman" w:eastAsia="宋体" w:cs="Times New Roman"/>
                <w:color w:val="000000"/>
                <w:spacing w:val="0"/>
                <w:w w:val="100"/>
                <w:sz w:val="24"/>
                <w:szCs w:val="24"/>
              </w:rPr>
              <w:t>.3管理创新（45分）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880" w:type="dxa"/>
            <w:vMerge w:val="continue"/>
            <w:vAlign w:val="center"/>
          </w:tcPr>
          <w:p>
            <w:pPr>
              <w:pStyle w:val="7"/>
              <w:widowControl w:val="0"/>
              <w:wordWrap/>
              <w:adjustRightInd/>
              <w:snapToGrid/>
              <w:spacing w:before="0" w:beforeAutospacing="0" w:after="0" w:afterAutospacing="0" w:line="380" w:lineRule="exact"/>
              <w:jc w:val="center"/>
              <w:textAlignment w:val="auto"/>
              <w:rPr>
                <w:rFonts w:hint="default" w:ascii="Times New Roman" w:hAnsi="Times New Roman" w:eastAsia="宋体" w:cs="Times New Roman"/>
                <w:color w:val="000000"/>
                <w:spacing w:val="0"/>
                <w:w w:val="100"/>
                <w:sz w:val="24"/>
                <w:szCs w:val="24"/>
              </w:rPr>
            </w:pPr>
          </w:p>
        </w:tc>
        <w:tc>
          <w:tcPr>
            <w:tcW w:w="6288" w:type="dxa"/>
            <w:vAlign w:val="center"/>
          </w:tcPr>
          <w:p>
            <w:pPr>
              <w:pStyle w:val="7"/>
              <w:widowControl w:val="0"/>
              <w:wordWrap/>
              <w:adjustRightInd/>
              <w:snapToGrid/>
              <w:spacing w:before="0" w:beforeAutospacing="0" w:after="0" w:afterAutospacing="0" w:line="380" w:lineRule="exact"/>
              <w:ind w:left="0" w:leftChars="0" w:right="0"/>
              <w:jc w:val="center"/>
              <w:textAlignment w:val="auto"/>
              <w:rPr>
                <w:rFonts w:hint="default" w:ascii="Times New Roman" w:hAnsi="Times New Roman" w:eastAsia="宋体" w:cs="Times New Roman"/>
                <w:color w:val="000000"/>
                <w:spacing w:val="0"/>
                <w:w w:val="100"/>
                <w:sz w:val="24"/>
                <w:szCs w:val="24"/>
                <w:lang w:val="en-US" w:eastAsia="zh-CN"/>
              </w:rPr>
            </w:pPr>
            <w:r>
              <w:rPr>
                <w:rFonts w:hint="default" w:ascii="Times New Roman" w:hAnsi="Times New Roman" w:eastAsia="宋体" w:cs="Times New Roman"/>
                <w:color w:val="000000"/>
                <w:spacing w:val="0"/>
                <w:w w:val="100"/>
                <w:sz w:val="24"/>
                <w:szCs w:val="24"/>
                <w:lang w:val="en-US" w:eastAsia="zh-CN"/>
              </w:rPr>
              <w:t>3</w:t>
            </w:r>
            <w:r>
              <w:rPr>
                <w:rFonts w:hint="default" w:ascii="Times New Roman" w:hAnsi="Times New Roman" w:eastAsia="宋体" w:cs="Times New Roman"/>
                <w:color w:val="000000"/>
                <w:spacing w:val="0"/>
                <w:w w:val="100"/>
                <w:sz w:val="24"/>
                <w:szCs w:val="24"/>
              </w:rPr>
              <w:t>.4技术创新（45分）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880" w:type="dxa"/>
            <w:vMerge w:val="restart"/>
            <w:vAlign w:val="center"/>
          </w:tcPr>
          <w:p>
            <w:pPr>
              <w:pStyle w:val="7"/>
              <w:widowControl w:val="0"/>
              <w:wordWrap/>
              <w:adjustRightInd/>
              <w:snapToGrid/>
              <w:spacing w:before="0" w:beforeAutospacing="0" w:after="0" w:afterAutospacing="0" w:line="38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rPr>
              <w:t>4.品牌（</w:t>
            </w:r>
            <w:r>
              <w:rPr>
                <w:rFonts w:hint="default" w:ascii="Times New Roman" w:hAnsi="Times New Roman" w:eastAsia="宋体" w:cs="Times New Roman"/>
                <w:color w:val="000000"/>
                <w:spacing w:val="0"/>
                <w:w w:val="100"/>
                <w:sz w:val="24"/>
                <w:szCs w:val="24"/>
                <w:lang w:val="en-US" w:eastAsia="zh-CN"/>
              </w:rPr>
              <w:t>100</w:t>
            </w:r>
            <w:r>
              <w:rPr>
                <w:rFonts w:hint="default" w:ascii="Times New Roman" w:hAnsi="Times New Roman" w:eastAsia="宋体" w:cs="Times New Roman"/>
                <w:color w:val="000000"/>
                <w:spacing w:val="0"/>
                <w:w w:val="100"/>
                <w:sz w:val="24"/>
                <w:szCs w:val="24"/>
              </w:rPr>
              <w:t>分）</w:t>
            </w:r>
          </w:p>
        </w:tc>
        <w:tc>
          <w:tcPr>
            <w:tcW w:w="6288" w:type="dxa"/>
            <w:vAlign w:val="center"/>
          </w:tcPr>
          <w:p>
            <w:pPr>
              <w:pStyle w:val="7"/>
              <w:widowControl w:val="0"/>
              <w:wordWrap/>
              <w:adjustRightInd/>
              <w:snapToGrid/>
              <w:spacing w:before="0" w:beforeAutospacing="0" w:after="0" w:afterAutospacing="0" w:line="38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spacing w:val="0"/>
                <w:w w:val="100"/>
                <w:sz w:val="24"/>
                <w:szCs w:val="24"/>
              </w:rPr>
              <w:t>4.1品牌规划</w:t>
            </w:r>
            <w:r>
              <w:rPr>
                <w:rFonts w:hint="default" w:ascii="Times New Roman" w:hAnsi="Times New Roman" w:eastAsia="宋体" w:cs="Times New Roman"/>
                <w:color w:val="000000"/>
                <w:spacing w:val="0"/>
                <w:w w:val="100"/>
                <w:sz w:val="24"/>
                <w:szCs w:val="24"/>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880" w:type="dxa"/>
            <w:vMerge w:val="continue"/>
            <w:vAlign w:val="center"/>
          </w:tcPr>
          <w:p>
            <w:pPr>
              <w:pStyle w:val="7"/>
              <w:widowControl w:val="0"/>
              <w:wordWrap/>
              <w:adjustRightInd/>
              <w:snapToGrid/>
              <w:spacing w:before="0" w:beforeAutospacing="0" w:after="0" w:afterAutospacing="0" w:line="380" w:lineRule="exact"/>
              <w:jc w:val="center"/>
              <w:textAlignment w:val="auto"/>
              <w:rPr>
                <w:rFonts w:hint="default" w:ascii="Times New Roman" w:hAnsi="Times New Roman" w:eastAsia="宋体" w:cs="Times New Roman"/>
                <w:color w:val="000000"/>
                <w:spacing w:val="0"/>
                <w:w w:val="100"/>
                <w:sz w:val="24"/>
                <w:szCs w:val="24"/>
              </w:rPr>
            </w:pPr>
          </w:p>
        </w:tc>
        <w:tc>
          <w:tcPr>
            <w:tcW w:w="6288" w:type="dxa"/>
            <w:vAlign w:val="center"/>
          </w:tcPr>
          <w:p>
            <w:pPr>
              <w:pStyle w:val="7"/>
              <w:widowControl w:val="0"/>
              <w:wordWrap/>
              <w:adjustRightInd/>
              <w:snapToGrid/>
              <w:spacing w:before="0" w:beforeAutospacing="0" w:after="0" w:afterAutospacing="0" w:line="38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spacing w:val="0"/>
                <w:w w:val="100"/>
                <w:sz w:val="24"/>
                <w:szCs w:val="24"/>
              </w:rPr>
              <w:t>4.2品牌管理</w:t>
            </w:r>
            <w:r>
              <w:rPr>
                <w:rFonts w:hint="default" w:ascii="Times New Roman" w:hAnsi="Times New Roman" w:eastAsia="宋体" w:cs="Times New Roman"/>
                <w:color w:val="000000"/>
                <w:spacing w:val="0"/>
                <w:w w:val="100"/>
                <w:sz w:val="24"/>
                <w:szCs w:val="24"/>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880" w:type="dxa"/>
            <w:vMerge w:val="continue"/>
            <w:vAlign w:val="center"/>
          </w:tcPr>
          <w:p>
            <w:pPr>
              <w:pStyle w:val="7"/>
              <w:widowControl w:val="0"/>
              <w:wordWrap/>
              <w:adjustRightInd/>
              <w:snapToGrid/>
              <w:spacing w:before="0" w:beforeAutospacing="0" w:after="0" w:afterAutospacing="0" w:line="380" w:lineRule="exact"/>
              <w:jc w:val="center"/>
              <w:textAlignment w:val="auto"/>
              <w:rPr>
                <w:rFonts w:hint="default" w:ascii="Times New Roman" w:hAnsi="Times New Roman" w:eastAsia="宋体" w:cs="Times New Roman"/>
                <w:color w:val="000000"/>
                <w:spacing w:val="0"/>
                <w:w w:val="100"/>
                <w:sz w:val="24"/>
                <w:szCs w:val="24"/>
              </w:rPr>
            </w:pPr>
          </w:p>
        </w:tc>
        <w:tc>
          <w:tcPr>
            <w:tcW w:w="6288" w:type="dxa"/>
            <w:vAlign w:val="center"/>
          </w:tcPr>
          <w:p>
            <w:pPr>
              <w:pStyle w:val="7"/>
              <w:widowControl w:val="0"/>
              <w:wordWrap/>
              <w:adjustRightInd/>
              <w:snapToGrid/>
              <w:spacing w:before="0" w:beforeAutospacing="0" w:after="0" w:afterAutospacing="0" w:line="38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spacing w:val="0"/>
                <w:w w:val="100"/>
                <w:sz w:val="24"/>
                <w:szCs w:val="24"/>
              </w:rPr>
              <w:t>4.3品牌保护</w:t>
            </w:r>
            <w:r>
              <w:rPr>
                <w:rFonts w:hint="default" w:ascii="Times New Roman" w:hAnsi="Times New Roman" w:eastAsia="宋体" w:cs="Times New Roman"/>
                <w:color w:val="000000"/>
                <w:spacing w:val="0"/>
                <w:w w:val="100"/>
                <w:sz w:val="24"/>
                <w:szCs w:val="24"/>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880" w:type="dxa"/>
            <w:vMerge w:val="restart"/>
            <w:vAlign w:val="center"/>
          </w:tcPr>
          <w:p>
            <w:pPr>
              <w:pStyle w:val="7"/>
              <w:widowControl w:val="0"/>
              <w:wordWrap/>
              <w:adjustRightInd/>
              <w:snapToGrid/>
              <w:spacing w:before="0" w:beforeAutospacing="0" w:after="0" w:afterAutospacing="0" w:line="38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rPr>
              <w:t>5.效益（</w:t>
            </w:r>
            <w:r>
              <w:rPr>
                <w:rFonts w:hint="default" w:ascii="Times New Roman" w:hAnsi="Times New Roman" w:eastAsia="宋体" w:cs="Times New Roman"/>
                <w:color w:val="000000"/>
                <w:spacing w:val="0"/>
                <w:w w:val="100"/>
                <w:sz w:val="24"/>
                <w:szCs w:val="24"/>
                <w:lang w:val="en-US" w:eastAsia="zh-CN"/>
              </w:rPr>
              <w:t>250</w:t>
            </w:r>
            <w:r>
              <w:rPr>
                <w:rFonts w:hint="default" w:ascii="Times New Roman" w:hAnsi="Times New Roman" w:eastAsia="宋体" w:cs="Times New Roman"/>
                <w:color w:val="000000"/>
                <w:spacing w:val="0"/>
                <w:w w:val="100"/>
                <w:sz w:val="24"/>
                <w:szCs w:val="24"/>
              </w:rPr>
              <w:t>分）</w:t>
            </w:r>
          </w:p>
        </w:tc>
        <w:tc>
          <w:tcPr>
            <w:tcW w:w="6288" w:type="dxa"/>
            <w:vAlign w:val="center"/>
          </w:tcPr>
          <w:p>
            <w:pPr>
              <w:pStyle w:val="7"/>
              <w:widowControl w:val="0"/>
              <w:wordWrap/>
              <w:adjustRightInd/>
              <w:snapToGrid/>
              <w:spacing w:before="0" w:beforeAutospacing="0" w:after="0" w:afterAutospacing="0" w:line="380" w:lineRule="exact"/>
              <w:ind w:left="0" w:leftChars="0" w:right="0"/>
              <w:jc w:val="center"/>
              <w:textAlignment w:val="auto"/>
              <w:rPr>
                <w:rFonts w:hint="default" w:ascii="Times New Roman" w:hAnsi="Times New Roman" w:eastAsia="宋体" w:cs="Times New Roman"/>
                <w:spacing w:val="0"/>
                <w:w w:val="100"/>
                <w:kern w:val="0"/>
                <w:sz w:val="24"/>
                <w:szCs w:val="24"/>
                <w:lang w:val="en-US" w:eastAsia="zh-CN"/>
              </w:rPr>
            </w:pPr>
            <w:r>
              <w:rPr>
                <w:rFonts w:hint="default" w:ascii="Times New Roman" w:hAnsi="Times New Roman" w:eastAsia="宋体" w:cs="Times New Roman"/>
                <w:spacing w:val="0"/>
                <w:w w:val="100"/>
                <w:sz w:val="24"/>
                <w:szCs w:val="24"/>
                <w:lang w:val="en-US" w:eastAsia="zh-CN"/>
              </w:rPr>
              <w:t>5.1</w:t>
            </w:r>
            <w:r>
              <w:rPr>
                <w:rFonts w:hint="default" w:ascii="Times New Roman" w:hAnsi="Times New Roman" w:eastAsia="宋体" w:cs="Times New Roman"/>
                <w:spacing w:val="0"/>
                <w:w w:val="100"/>
                <w:sz w:val="24"/>
                <w:szCs w:val="24"/>
              </w:rPr>
              <w:t>质量水平（</w:t>
            </w:r>
            <w:r>
              <w:rPr>
                <w:rFonts w:hint="default" w:ascii="Times New Roman" w:hAnsi="Times New Roman" w:eastAsia="宋体" w:cs="Times New Roman"/>
                <w:spacing w:val="0"/>
                <w:w w:val="100"/>
                <w:sz w:val="24"/>
                <w:szCs w:val="24"/>
                <w:lang w:val="en-US" w:eastAsia="zh-CN"/>
              </w:rPr>
              <w:t>4</w:t>
            </w:r>
            <w:r>
              <w:rPr>
                <w:rFonts w:hint="default" w:ascii="Times New Roman" w:hAnsi="Times New Roman" w:eastAsia="宋体" w:cs="Times New Roman"/>
                <w:spacing w:val="0"/>
                <w:w w:val="100"/>
                <w:sz w:val="24"/>
                <w:szCs w:val="24"/>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880" w:type="dxa"/>
            <w:vMerge w:val="continue"/>
            <w:vAlign w:val="center"/>
          </w:tcPr>
          <w:p>
            <w:pPr>
              <w:pStyle w:val="7"/>
              <w:widowControl w:val="0"/>
              <w:wordWrap/>
              <w:adjustRightInd/>
              <w:snapToGrid/>
              <w:spacing w:before="0" w:beforeAutospacing="0" w:after="0" w:afterAutospacing="0" w:line="380" w:lineRule="exact"/>
              <w:jc w:val="center"/>
              <w:textAlignment w:val="auto"/>
              <w:rPr>
                <w:rFonts w:hint="default" w:ascii="Times New Roman" w:hAnsi="Times New Roman" w:eastAsia="宋体" w:cs="Times New Roman"/>
                <w:color w:val="000000"/>
                <w:spacing w:val="0"/>
                <w:w w:val="100"/>
                <w:sz w:val="24"/>
                <w:szCs w:val="24"/>
              </w:rPr>
            </w:pPr>
          </w:p>
        </w:tc>
        <w:tc>
          <w:tcPr>
            <w:tcW w:w="6288" w:type="dxa"/>
            <w:vAlign w:val="center"/>
          </w:tcPr>
          <w:p>
            <w:pPr>
              <w:pStyle w:val="7"/>
              <w:widowControl w:val="0"/>
              <w:wordWrap/>
              <w:adjustRightInd/>
              <w:snapToGrid/>
              <w:spacing w:before="0" w:beforeAutospacing="0" w:after="0" w:afterAutospacing="0" w:line="380" w:lineRule="exact"/>
              <w:ind w:left="0" w:leftChars="0" w:right="0"/>
              <w:jc w:val="center"/>
              <w:textAlignment w:val="auto"/>
              <w:rPr>
                <w:rFonts w:hint="default" w:ascii="Times New Roman" w:hAnsi="Times New Roman" w:eastAsia="宋体" w:cs="Times New Roman"/>
                <w:spacing w:val="0"/>
                <w:w w:val="100"/>
                <w:kern w:val="0"/>
                <w:sz w:val="24"/>
                <w:szCs w:val="24"/>
                <w:lang w:val="en-US" w:eastAsia="zh-CN"/>
              </w:rPr>
            </w:pPr>
            <w:r>
              <w:rPr>
                <w:rFonts w:hint="default" w:ascii="Times New Roman" w:hAnsi="Times New Roman" w:eastAsia="宋体" w:cs="Times New Roman"/>
                <w:spacing w:val="0"/>
                <w:w w:val="100"/>
                <w:sz w:val="24"/>
                <w:szCs w:val="24"/>
                <w:lang w:val="en-US" w:eastAsia="zh-CN"/>
              </w:rPr>
              <w:t>5.2</w:t>
            </w:r>
            <w:r>
              <w:rPr>
                <w:rFonts w:hint="default" w:ascii="Times New Roman" w:hAnsi="Times New Roman" w:eastAsia="宋体" w:cs="Times New Roman"/>
                <w:spacing w:val="0"/>
                <w:w w:val="100"/>
                <w:sz w:val="24"/>
                <w:szCs w:val="24"/>
              </w:rPr>
              <w:t>创新价值（</w:t>
            </w:r>
            <w:r>
              <w:rPr>
                <w:rFonts w:hint="default" w:ascii="Times New Roman" w:hAnsi="Times New Roman" w:eastAsia="宋体" w:cs="Times New Roman"/>
                <w:spacing w:val="0"/>
                <w:w w:val="100"/>
                <w:sz w:val="24"/>
                <w:szCs w:val="24"/>
                <w:lang w:val="en-US" w:eastAsia="zh-CN"/>
              </w:rPr>
              <w:t>3</w:t>
            </w:r>
            <w:r>
              <w:rPr>
                <w:rFonts w:hint="default" w:ascii="Times New Roman" w:hAnsi="Times New Roman" w:eastAsia="宋体" w:cs="Times New Roman"/>
                <w:spacing w:val="0"/>
                <w:w w:val="100"/>
                <w:sz w:val="24"/>
                <w:szCs w:val="24"/>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880" w:type="dxa"/>
            <w:vMerge w:val="continue"/>
            <w:vAlign w:val="center"/>
          </w:tcPr>
          <w:p>
            <w:pPr>
              <w:pStyle w:val="7"/>
              <w:widowControl w:val="0"/>
              <w:wordWrap/>
              <w:adjustRightInd/>
              <w:snapToGrid/>
              <w:spacing w:before="0" w:beforeAutospacing="0" w:after="0" w:afterAutospacing="0" w:line="380" w:lineRule="exact"/>
              <w:jc w:val="center"/>
              <w:textAlignment w:val="auto"/>
              <w:rPr>
                <w:rFonts w:hint="default" w:ascii="Times New Roman" w:hAnsi="Times New Roman" w:eastAsia="宋体" w:cs="Times New Roman"/>
                <w:color w:val="000000"/>
                <w:spacing w:val="0"/>
                <w:w w:val="100"/>
                <w:sz w:val="24"/>
                <w:szCs w:val="24"/>
              </w:rPr>
            </w:pPr>
          </w:p>
        </w:tc>
        <w:tc>
          <w:tcPr>
            <w:tcW w:w="6288" w:type="dxa"/>
            <w:vAlign w:val="center"/>
          </w:tcPr>
          <w:p>
            <w:pPr>
              <w:pStyle w:val="7"/>
              <w:widowControl w:val="0"/>
              <w:wordWrap/>
              <w:adjustRightInd/>
              <w:snapToGrid/>
              <w:spacing w:before="0" w:beforeAutospacing="0" w:after="0" w:afterAutospacing="0" w:line="380" w:lineRule="exact"/>
              <w:ind w:left="0" w:leftChars="0" w:right="0"/>
              <w:jc w:val="center"/>
              <w:textAlignment w:val="auto"/>
              <w:rPr>
                <w:rFonts w:hint="default" w:ascii="Times New Roman" w:hAnsi="Times New Roman" w:eastAsia="宋体" w:cs="Times New Roman"/>
                <w:spacing w:val="0"/>
                <w:w w:val="100"/>
                <w:kern w:val="0"/>
                <w:sz w:val="24"/>
                <w:szCs w:val="24"/>
                <w:lang w:val="en-US" w:eastAsia="zh-CN"/>
              </w:rPr>
            </w:pPr>
            <w:r>
              <w:rPr>
                <w:rFonts w:hint="default" w:ascii="Times New Roman" w:hAnsi="Times New Roman" w:eastAsia="宋体" w:cs="Times New Roman"/>
                <w:spacing w:val="0"/>
                <w:w w:val="100"/>
                <w:sz w:val="24"/>
                <w:szCs w:val="24"/>
                <w:lang w:val="en-US" w:eastAsia="zh-CN"/>
              </w:rPr>
              <w:t>5.3</w:t>
            </w:r>
            <w:r>
              <w:rPr>
                <w:rFonts w:hint="default" w:ascii="Times New Roman" w:hAnsi="Times New Roman" w:eastAsia="宋体" w:cs="Times New Roman"/>
                <w:spacing w:val="0"/>
                <w:w w:val="100"/>
                <w:sz w:val="24"/>
                <w:szCs w:val="24"/>
              </w:rPr>
              <w:t>品牌影响（30分）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880" w:type="dxa"/>
            <w:vMerge w:val="continue"/>
            <w:vAlign w:val="top"/>
          </w:tcPr>
          <w:p>
            <w:pPr>
              <w:pStyle w:val="7"/>
              <w:widowControl w:val="0"/>
              <w:wordWrap/>
              <w:adjustRightInd/>
              <w:snapToGrid/>
              <w:spacing w:before="0" w:beforeAutospacing="0" w:after="0" w:afterAutospacing="0" w:line="380" w:lineRule="exact"/>
              <w:jc w:val="center"/>
              <w:textAlignment w:val="auto"/>
              <w:rPr>
                <w:rFonts w:hint="default" w:ascii="Times New Roman" w:hAnsi="Times New Roman" w:eastAsia="宋体" w:cs="Times New Roman"/>
                <w:color w:val="000000"/>
                <w:spacing w:val="0"/>
                <w:w w:val="100"/>
                <w:sz w:val="24"/>
                <w:szCs w:val="24"/>
              </w:rPr>
            </w:pPr>
          </w:p>
        </w:tc>
        <w:tc>
          <w:tcPr>
            <w:tcW w:w="6288" w:type="dxa"/>
            <w:vAlign w:val="center"/>
          </w:tcPr>
          <w:p>
            <w:pPr>
              <w:pStyle w:val="7"/>
              <w:widowControl w:val="0"/>
              <w:wordWrap/>
              <w:adjustRightInd/>
              <w:snapToGrid/>
              <w:spacing w:before="0" w:beforeAutospacing="0" w:after="0" w:afterAutospacing="0" w:line="380" w:lineRule="exact"/>
              <w:ind w:left="0" w:leftChars="0" w:right="0"/>
              <w:jc w:val="center"/>
              <w:textAlignment w:val="auto"/>
              <w:rPr>
                <w:rFonts w:hint="default" w:ascii="Times New Roman" w:hAnsi="Times New Roman" w:eastAsia="宋体" w:cs="Times New Roman"/>
                <w:spacing w:val="0"/>
                <w:w w:val="100"/>
                <w:sz w:val="24"/>
                <w:szCs w:val="24"/>
              </w:rPr>
            </w:pPr>
            <w:r>
              <w:rPr>
                <w:rFonts w:hint="default" w:ascii="Times New Roman" w:hAnsi="Times New Roman" w:eastAsia="宋体" w:cs="Times New Roman"/>
                <w:spacing w:val="0"/>
                <w:w w:val="100"/>
                <w:sz w:val="24"/>
                <w:szCs w:val="24"/>
              </w:rPr>
              <w:t>5.</w:t>
            </w:r>
            <w:r>
              <w:rPr>
                <w:rFonts w:hint="default" w:ascii="Times New Roman" w:hAnsi="Times New Roman" w:eastAsia="宋体" w:cs="Times New Roman"/>
                <w:spacing w:val="0"/>
                <w:w w:val="100"/>
                <w:sz w:val="24"/>
                <w:szCs w:val="24"/>
                <w:lang w:val="en-US" w:eastAsia="zh-CN"/>
              </w:rPr>
              <w:t>4</w:t>
            </w:r>
            <w:r>
              <w:rPr>
                <w:rFonts w:hint="default" w:ascii="Times New Roman" w:hAnsi="Times New Roman" w:eastAsia="宋体" w:cs="Times New Roman"/>
                <w:spacing w:val="0"/>
                <w:w w:val="100"/>
                <w:sz w:val="24"/>
                <w:szCs w:val="24"/>
              </w:rPr>
              <w:t>绿色成效（</w:t>
            </w:r>
            <w:r>
              <w:rPr>
                <w:rFonts w:hint="default" w:ascii="Times New Roman" w:hAnsi="Times New Roman" w:eastAsia="宋体" w:cs="Times New Roman"/>
                <w:spacing w:val="0"/>
                <w:w w:val="100"/>
                <w:sz w:val="24"/>
                <w:szCs w:val="24"/>
                <w:lang w:val="en-US" w:eastAsia="zh-CN"/>
              </w:rPr>
              <w:t>4</w:t>
            </w:r>
            <w:r>
              <w:rPr>
                <w:rFonts w:hint="default" w:ascii="Times New Roman" w:hAnsi="Times New Roman" w:eastAsia="宋体" w:cs="Times New Roman"/>
                <w:spacing w:val="0"/>
                <w:w w:val="100"/>
                <w:sz w:val="24"/>
                <w:szCs w:val="24"/>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880" w:type="dxa"/>
            <w:vMerge w:val="continue"/>
            <w:vAlign w:val="top"/>
          </w:tcPr>
          <w:p>
            <w:pPr>
              <w:pStyle w:val="7"/>
              <w:widowControl w:val="0"/>
              <w:wordWrap/>
              <w:adjustRightInd/>
              <w:snapToGrid/>
              <w:spacing w:before="0" w:beforeAutospacing="0" w:after="0" w:afterAutospacing="0" w:line="380" w:lineRule="exact"/>
              <w:jc w:val="center"/>
              <w:textAlignment w:val="auto"/>
              <w:rPr>
                <w:rFonts w:hint="default" w:ascii="Times New Roman" w:hAnsi="Times New Roman" w:eastAsia="宋体" w:cs="Times New Roman"/>
                <w:color w:val="000000"/>
                <w:spacing w:val="0"/>
                <w:w w:val="100"/>
                <w:sz w:val="24"/>
                <w:szCs w:val="24"/>
              </w:rPr>
            </w:pPr>
          </w:p>
        </w:tc>
        <w:tc>
          <w:tcPr>
            <w:tcW w:w="6288" w:type="dxa"/>
            <w:vAlign w:val="center"/>
          </w:tcPr>
          <w:p>
            <w:pPr>
              <w:pStyle w:val="7"/>
              <w:widowControl w:val="0"/>
              <w:wordWrap/>
              <w:adjustRightInd/>
              <w:snapToGrid/>
              <w:spacing w:before="0" w:beforeAutospacing="0" w:after="0" w:afterAutospacing="0" w:line="380" w:lineRule="exact"/>
              <w:ind w:left="0" w:leftChars="0" w:right="0"/>
              <w:jc w:val="center"/>
              <w:textAlignment w:val="auto"/>
              <w:rPr>
                <w:rFonts w:hint="default" w:ascii="Times New Roman" w:hAnsi="Times New Roman" w:eastAsia="宋体" w:cs="Times New Roman"/>
                <w:spacing w:val="0"/>
                <w:w w:val="100"/>
                <w:sz w:val="24"/>
                <w:szCs w:val="24"/>
              </w:rPr>
            </w:pPr>
            <w:r>
              <w:rPr>
                <w:rFonts w:hint="default" w:ascii="Times New Roman" w:hAnsi="Times New Roman" w:eastAsia="宋体" w:cs="Times New Roman"/>
                <w:spacing w:val="0"/>
                <w:w w:val="100"/>
                <w:sz w:val="24"/>
                <w:szCs w:val="24"/>
              </w:rPr>
              <w:t>5.</w:t>
            </w:r>
            <w:r>
              <w:rPr>
                <w:rFonts w:hint="default" w:ascii="Times New Roman" w:hAnsi="Times New Roman" w:eastAsia="宋体" w:cs="Times New Roman"/>
                <w:spacing w:val="0"/>
                <w:w w:val="100"/>
                <w:sz w:val="24"/>
                <w:szCs w:val="24"/>
                <w:lang w:val="en-US" w:eastAsia="zh-CN"/>
              </w:rPr>
              <w:t>5</w:t>
            </w:r>
            <w:r>
              <w:rPr>
                <w:rFonts w:hint="default" w:ascii="Times New Roman" w:hAnsi="Times New Roman" w:eastAsia="宋体" w:cs="Times New Roman"/>
                <w:spacing w:val="0"/>
                <w:w w:val="100"/>
                <w:sz w:val="24"/>
                <w:szCs w:val="24"/>
              </w:rPr>
              <w:t>效率</w:t>
            </w:r>
            <w:r>
              <w:rPr>
                <w:rFonts w:hint="default" w:ascii="Times New Roman" w:hAnsi="Times New Roman" w:eastAsia="宋体" w:cs="Times New Roman"/>
                <w:spacing w:val="0"/>
                <w:w w:val="100"/>
                <w:sz w:val="24"/>
                <w:szCs w:val="24"/>
                <w:lang w:val="en-US" w:eastAsia="zh-CN"/>
              </w:rPr>
              <w:t>变革</w:t>
            </w:r>
            <w:r>
              <w:rPr>
                <w:rFonts w:hint="default" w:ascii="Times New Roman" w:hAnsi="Times New Roman" w:eastAsia="宋体" w:cs="Times New Roman"/>
                <w:spacing w:val="0"/>
                <w:w w:val="100"/>
                <w:sz w:val="24"/>
                <w:szCs w:val="24"/>
              </w:rPr>
              <w:t>（</w:t>
            </w:r>
            <w:r>
              <w:rPr>
                <w:rFonts w:hint="default" w:ascii="Times New Roman" w:hAnsi="Times New Roman" w:eastAsia="宋体" w:cs="Times New Roman"/>
                <w:spacing w:val="0"/>
                <w:w w:val="100"/>
                <w:sz w:val="24"/>
                <w:szCs w:val="24"/>
                <w:lang w:val="en-US" w:eastAsia="zh-CN"/>
              </w:rPr>
              <w:t>4</w:t>
            </w:r>
            <w:r>
              <w:rPr>
                <w:rFonts w:hint="default" w:ascii="Times New Roman" w:hAnsi="Times New Roman" w:eastAsia="宋体" w:cs="Times New Roman"/>
                <w:spacing w:val="0"/>
                <w:w w:val="100"/>
                <w:sz w:val="24"/>
                <w:szCs w:val="24"/>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880" w:type="dxa"/>
            <w:vMerge w:val="continue"/>
            <w:vAlign w:val="top"/>
          </w:tcPr>
          <w:p>
            <w:pPr>
              <w:pStyle w:val="7"/>
              <w:widowControl w:val="0"/>
              <w:wordWrap/>
              <w:adjustRightInd/>
              <w:snapToGrid/>
              <w:spacing w:before="0" w:beforeAutospacing="0" w:after="0" w:afterAutospacing="0" w:line="380" w:lineRule="exact"/>
              <w:jc w:val="center"/>
              <w:textAlignment w:val="auto"/>
              <w:rPr>
                <w:rFonts w:hint="default" w:ascii="Times New Roman" w:hAnsi="Times New Roman" w:eastAsia="宋体" w:cs="Times New Roman"/>
                <w:color w:val="000000"/>
                <w:spacing w:val="0"/>
                <w:w w:val="100"/>
                <w:sz w:val="24"/>
                <w:szCs w:val="24"/>
              </w:rPr>
            </w:pPr>
          </w:p>
        </w:tc>
        <w:tc>
          <w:tcPr>
            <w:tcW w:w="6288" w:type="dxa"/>
            <w:vAlign w:val="center"/>
          </w:tcPr>
          <w:p>
            <w:pPr>
              <w:pStyle w:val="7"/>
              <w:widowControl w:val="0"/>
              <w:wordWrap/>
              <w:adjustRightInd/>
              <w:snapToGrid/>
              <w:spacing w:before="0" w:beforeAutospacing="0" w:after="0" w:afterAutospacing="0" w:line="380" w:lineRule="exact"/>
              <w:ind w:left="0" w:leftChars="0" w:right="0"/>
              <w:jc w:val="center"/>
              <w:textAlignment w:val="auto"/>
              <w:rPr>
                <w:rFonts w:hint="default" w:ascii="Times New Roman" w:hAnsi="Times New Roman" w:eastAsia="宋体" w:cs="Times New Roman"/>
                <w:spacing w:val="0"/>
                <w:w w:val="100"/>
                <w:sz w:val="24"/>
                <w:szCs w:val="24"/>
              </w:rPr>
            </w:pPr>
            <w:r>
              <w:rPr>
                <w:rFonts w:hint="default" w:ascii="Times New Roman" w:hAnsi="Times New Roman" w:eastAsia="宋体" w:cs="Times New Roman"/>
                <w:spacing w:val="0"/>
                <w:w w:val="100"/>
                <w:sz w:val="24"/>
                <w:szCs w:val="24"/>
              </w:rPr>
              <w:t>5.</w:t>
            </w:r>
            <w:r>
              <w:rPr>
                <w:rFonts w:hint="default" w:ascii="Times New Roman" w:hAnsi="Times New Roman" w:eastAsia="宋体" w:cs="Times New Roman"/>
                <w:spacing w:val="0"/>
                <w:w w:val="100"/>
                <w:sz w:val="24"/>
                <w:szCs w:val="24"/>
                <w:lang w:val="en-US" w:eastAsia="zh-CN"/>
              </w:rPr>
              <w:t>6</w:t>
            </w:r>
            <w:r>
              <w:rPr>
                <w:rFonts w:hint="default" w:ascii="Times New Roman" w:hAnsi="Times New Roman" w:eastAsia="宋体" w:cs="Times New Roman"/>
                <w:spacing w:val="0"/>
                <w:w w:val="100"/>
                <w:sz w:val="24"/>
                <w:szCs w:val="24"/>
              </w:rPr>
              <w:t>经济效益（</w:t>
            </w:r>
            <w:r>
              <w:rPr>
                <w:rFonts w:hint="default" w:ascii="Times New Roman" w:hAnsi="Times New Roman" w:eastAsia="宋体" w:cs="Times New Roman"/>
                <w:spacing w:val="0"/>
                <w:w w:val="100"/>
                <w:sz w:val="24"/>
                <w:szCs w:val="24"/>
                <w:lang w:val="en-US" w:eastAsia="zh-CN"/>
              </w:rPr>
              <w:t>4</w:t>
            </w:r>
            <w:r>
              <w:rPr>
                <w:rFonts w:hint="default" w:ascii="Times New Roman" w:hAnsi="Times New Roman" w:eastAsia="宋体" w:cs="Times New Roman"/>
                <w:spacing w:val="0"/>
                <w:w w:val="100"/>
                <w:sz w:val="24"/>
                <w:szCs w:val="24"/>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880" w:type="dxa"/>
            <w:vMerge w:val="continue"/>
            <w:vAlign w:val="top"/>
          </w:tcPr>
          <w:p>
            <w:pPr>
              <w:pStyle w:val="7"/>
              <w:widowControl w:val="0"/>
              <w:wordWrap/>
              <w:adjustRightInd/>
              <w:snapToGrid/>
              <w:spacing w:before="0" w:beforeAutospacing="0" w:after="0" w:afterAutospacing="0" w:line="380" w:lineRule="exact"/>
              <w:jc w:val="center"/>
              <w:textAlignment w:val="auto"/>
              <w:rPr>
                <w:rFonts w:hint="default" w:ascii="Times New Roman" w:hAnsi="Times New Roman" w:eastAsia="宋体" w:cs="Times New Roman"/>
                <w:color w:val="000000"/>
                <w:spacing w:val="0"/>
                <w:w w:val="100"/>
                <w:sz w:val="24"/>
                <w:szCs w:val="24"/>
              </w:rPr>
            </w:pPr>
          </w:p>
        </w:tc>
        <w:tc>
          <w:tcPr>
            <w:tcW w:w="6288" w:type="dxa"/>
            <w:vAlign w:val="center"/>
          </w:tcPr>
          <w:p>
            <w:pPr>
              <w:pStyle w:val="7"/>
              <w:widowControl w:val="0"/>
              <w:wordWrap/>
              <w:adjustRightInd/>
              <w:snapToGrid/>
              <w:spacing w:before="0" w:beforeAutospacing="0" w:after="0" w:afterAutospacing="0" w:line="380" w:lineRule="exact"/>
              <w:ind w:left="0" w:leftChars="0" w:right="0"/>
              <w:jc w:val="center"/>
              <w:textAlignment w:val="auto"/>
              <w:rPr>
                <w:rFonts w:hint="default" w:ascii="Times New Roman" w:hAnsi="Times New Roman" w:eastAsia="宋体" w:cs="Times New Roman"/>
                <w:spacing w:val="0"/>
                <w:w w:val="100"/>
                <w:sz w:val="24"/>
                <w:szCs w:val="24"/>
              </w:rPr>
            </w:pPr>
            <w:r>
              <w:rPr>
                <w:rFonts w:hint="default" w:ascii="Times New Roman" w:hAnsi="Times New Roman" w:eastAsia="宋体" w:cs="Times New Roman"/>
                <w:spacing w:val="0"/>
                <w:w w:val="100"/>
                <w:sz w:val="24"/>
                <w:szCs w:val="24"/>
              </w:rPr>
              <w:t>5.</w:t>
            </w:r>
            <w:r>
              <w:rPr>
                <w:rFonts w:hint="default" w:ascii="Times New Roman" w:hAnsi="Times New Roman" w:eastAsia="宋体" w:cs="Times New Roman"/>
                <w:spacing w:val="0"/>
                <w:w w:val="100"/>
                <w:sz w:val="24"/>
                <w:szCs w:val="24"/>
                <w:lang w:val="en-US" w:eastAsia="zh-CN"/>
              </w:rPr>
              <w:t>7</w:t>
            </w:r>
            <w:r>
              <w:rPr>
                <w:rFonts w:hint="default" w:ascii="Times New Roman" w:hAnsi="Times New Roman" w:eastAsia="宋体" w:cs="Times New Roman"/>
                <w:spacing w:val="0"/>
                <w:w w:val="100"/>
                <w:sz w:val="24"/>
                <w:szCs w:val="24"/>
              </w:rPr>
              <w:t>社会效益（30分）</w:t>
            </w:r>
          </w:p>
        </w:tc>
      </w:tr>
    </w:tbl>
    <w:p>
      <w:pPr>
        <w:widowControl w:val="0"/>
        <w:pBdr>
          <w:top w:val="none" w:color="auto" w:sz="0" w:space="0"/>
          <w:left w:val="none" w:color="auto" w:sz="0" w:space="0"/>
          <w:bottom w:val="none" w:color="auto" w:sz="0" w:space="0"/>
          <w:right w:val="none" w:color="auto" w:sz="0" w:space="0"/>
        </w:pBdr>
        <w:wordWrap/>
        <w:adjustRightInd/>
        <w:snapToGrid/>
        <w:spacing w:line="560" w:lineRule="exact"/>
        <w:ind w:left="0" w:leftChars="0" w:firstLine="640" w:firstLineChars="200"/>
        <w:textAlignment w:val="auto"/>
        <w:outlineLvl w:val="9"/>
        <w:rPr>
          <w:rFonts w:hint="default" w:ascii="Times New Roman" w:hAnsi="Times New Roman" w:eastAsia="仿宋_GB2312" w:cs="仿宋_GB2312"/>
          <w:color w:val="000000"/>
          <w:sz w:val="32"/>
          <w:szCs w:val="32"/>
        </w:rPr>
      </w:pPr>
      <w:r>
        <w:rPr>
          <w:rFonts w:hint="default" w:ascii="Times New Roman" w:hAnsi="Times New Roman" w:eastAsia="仿宋_GB2312" w:cs="仿宋_GB2312"/>
          <w:color w:val="000000"/>
          <w:spacing w:val="0"/>
          <w:w w:val="100"/>
          <w:sz w:val="32"/>
          <w:szCs w:val="32"/>
        </w:rPr>
        <w:t>医疗机构（医院科室、专项医疗团队和社区医疗机构）</w:t>
      </w:r>
      <w:r>
        <w:rPr>
          <w:rFonts w:hint="default" w:ascii="Times New Roman" w:hAnsi="Times New Roman" w:eastAsia="仿宋_GB2312" w:cs="仿宋_GB2312"/>
          <w:color w:val="000000"/>
          <w:spacing w:val="0"/>
          <w:w w:val="100"/>
          <w:sz w:val="32"/>
          <w:szCs w:val="32"/>
          <w:lang w:val="en-US" w:eastAsia="zh-CN"/>
        </w:rPr>
        <w:t>组织</w:t>
      </w:r>
      <w:r>
        <w:rPr>
          <w:rFonts w:hint="default" w:ascii="Times New Roman" w:hAnsi="Times New Roman" w:eastAsia="仿宋_GB2312" w:cs="仿宋_GB2312"/>
          <w:color w:val="000000"/>
          <w:sz w:val="32"/>
          <w:szCs w:val="32"/>
          <w:lang w:val="en-US" w:eastAsia="zh-CN"/>
        </w:rPr>
        <w:t>评价</w:t>
      </w:r>
      <w:r>
        <w:rPr>
          <w:rFonts w:hint="default" w:ascii="Times New Roman" w:hAnsi="Times New Roman" w:eastAsia="仿宋_GB2312" w:cs="仿宋_GB2312"/>
          <w:color w:val="000000"/>
          <w:sz w:val="32"/>
          <w:szCs w:val="32"/>
        </w:rPr>
        <w:t>指标</w:t>
      </w:r>
      <w:r>
        <w:rPr>
          <w:rFonts w:hint="default" w:ascii="Times New Roman" w:hAnsi="Times New Roman" w:eastAsia="仿宋_GB2312" w:cs="仿宋_GB2312"/>
          <w:color w:val="000000"/>
          <w:sz w:val="32"/>
          <w:szCs w:val="32"/>
          <w:lang w:val="en-US" w:eastAsia="zh-CN"/>
        </w:rPr>
        <w:t>及</w:t>
      </w:r>
      <w:r>
        <w:rPr>
          <w:rFonts w:hint="default" w:ascii="Times New Roman" w:hAnsi="Times New Roman" w:eastAsia="仿宋_GB2312" w:cs="仿宋_GB2312"/>
          <w:color w:val="000000"/>
          <w:sz w:val="32"/>
          <w:szCs w:val="32"/>
        </w:rPr>
        <w:t>分值分布如表2所示。</w:t>
      </w:r>
    </w:p>
    <w:p>
      <w:pPr>
        <w:pStyle w:val="7"/>
        <w:widowControl w:val="0"/>
        <w:shd w:val="clear" w:color="auto" w:fill="FFFFFF"/>
        <w:wordWrap/>
        <w:adjustRightInd/>
        <w:snapToGrid/>
        <w:spacing w:before="0" w:beforeAutospacing="0" w:after="0" w:afterAutospacing="0" w:line="560" w:lineRule="exact"/>
        <w:jc w:val="center"/>
        <w:textAlignment w:val="auto"/>
        <w:rPr>
          <w:rFonts w:hint="default" w:ascii="Times New Roman" w:hAnsi="Times New Roman" w:eastAsia="仿宋_GB2312" w:cs="仿宋_GB2312"/>
          <w:color w:val="000000"/>
          <w:sz w:val="28"/>
          <w:szCs w:val="28"/>
        </w:rPr>
      </w:pPr>
      <w:r>
        <w:rPr>
          <w:rFonts w:hint="default" w:ascii="Times New Roman" w:hAnsi="Times New Roman" w:eastAsia="仿宋_GB2312" w:cs="仿宋_GB2312"/>
          <w:color w:val="000000"/>
          <w:sz w:val="28"/>
          <w:szCs w:val="28"/>
        </w:rPr>
        <w:t xml:space="preserve">表2 </w:t>
      </w:r>
      <w:r>
        <w:rPr>
          <w:rFonts w:hint="eastAsia" w:ascii="Times New Roman" w:hAnsi="Times New Roman" w:eastAsia="仿宋_GB2312" w:cs="仿宋_GB2312"/>
          <w:color w:val="000000"/>
          <w:sz w:val="28"/>
          <w:szCs w:val="28"/>
          <w:lang w:val="en-US" w:eastAsia="zh-CN"/>
        </w:rPr>
        <w:t xml:space="preserve"> </w:t>
      </w:r>
      <w:r>
        <w:rPr>
          <w:rFonts w:hint="default" w:ascii="Times New Roman" w:hAnsi="Times New Roman" w:eastAsia="仿宋_GB2312" w:cs="仿宋_GB2312"/>
          <w:color w:val="000000"/>
          <w:sz w:val="28"/>
          <w:szCs w:val="28"/>
        </w:rPr>
        <w:t>广东省政府质量奖医疗机构评</w:t>
      </w:r>
      <w:r>
        <w:rPr>
          <w:rFonts w:hint="default" w:ascii="Times New Roman" w:hAnsi="Times New Roman" w:eastAsia="仿宋_GB2312" w:cs="仿宋_GB2312"/>
          <w:color w:val="000000"/>
          <w:sz w:val="28"/>
          <w:szCs w:val="28"/>
          <w:lang w:val="en-US"/>
        </w:rPr>
        <w:t>价</w:t>
      </w:r>
      <w:r>
        <w:rPr>
          <w:rFonts w:hint="default" w:ascii="Times New Roman" w:hAnsi="Times New Roman" w:eastAsia="仿宋_GB2312" w:cs="仿宋_GB2312"/>
          <w:color w:val="000000"/>
          <w:sz w:val="28"/>
          <w:szCs w:val="28"/>
        </w:rPr>
        <w:t>指标</w:t>
      </w:r>
    </w:p>
    <w:tbl>
      <w:tblPr>
        <w:tblStyle w:val="9"/>
        <w:tblW w:w="92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97"/>
        <w:gridCol w:w="63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97" w:type="dxa"/>
            <w:vAlign w:val="center"/>
          </w:tcPr>
          <w:p>
            <w:pPr>
              <w:pStyle w:val="7"/>
              <w:widowControl w:val="0"/>
              <w:wordWrap/>
              <w:adjustRightInd/>
              <w:snapToGrid/>
              <w:spacing w:before="0" w:beforeAutospacing="0" w:after="0" w:afterAutospacing="0" w:line="400" w:lineRule="exact"/>
              <w:jc w:val="center"/>
              <w:textAlignment w:val="auto"/>
              <w:rPr>
                <w:rFonts w:hint="default" w:ascii="Times New Roman" w:hAnsi="Times New Roman" w:eastAsia="黑体" w:cs="黑体"/>
                <w:b w:val="0"/>
                <w:bCs w:val="0"/>
                <w:color w:val="000000"/>
                <w:szCs w:val="22"/>
              </w:rPr>
            </w:pPr>
            <w:r>
              <w:rPr>
                <w:rFonts w:hint="default" w:ascii="Times New Roman" w:hAnsi="Times New Roman" w:eastAsia="黑体" w:cs="黑体"/>
                <w:b w:val="0"/>
                <w:bCs w:val="0"/>
                <w:color w:val="000000"/>
                <w:szCs w:val="22"/>
              </w:rPr>
              <w:t>一级评价指标</w:t>
            </w:r>
          </w:p>
        </w:tc>
        <w:tc>
          <w:tcPr>
            <w:tcW w:w="6339" w:type="dxa"/>
            <w:vAlign w:val="center"/>
          </w:tcPr>
          <w:p>
            <w:pPr>
              <w:pStyle w:val="7"/>
              <w:widowControl w:val="0"/>
              <w:wordWrap/>
              <w:adjustRightInd/>
              <w:snapToGrid/>
              <w:spacing w:before="0" w:beforeAutospacing="0" w:after="0" w:afterAutospacing="0" w:line="400" w:lineRule="exact"/>
              <w:jc w:val="center"/>
              <w:textAlignment w:val="auto"/>
              <w:rPr>
                <w:rFonts w:hint="default" w:ascii="Times New Roman" w:hAnsi="Times New Roman" w:eastAsia="黑体" w:cs="黑体"/>
                <w:b w:val="0"/>
                <w:bCs w:val="0"/>
                <w:color w:val="000000"/>
                <w:szCs w:val="22"/>
              </w:rPr>
            </w:pPr>
            <w:r>
              <w:rPr>
                <w:rFonts w:hint="default" w:ascii="Times New Roman" w:hAnsi="Times New Roman" w:eastAsia="黑体" w:cs="黑体"/>
                <w:b w:val="0"/>
                <w:bCs w:val="0"/>
                <w:color w:val="000000"/>
                <w:szCs w:val="22"/>
              </w:rPr>
              <w:t>二级评价指标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97" w:type="dxa"/>
            <w:vMerge w:val="restart"/>
            <w:vAlign w:val="center"/>
          </w:tcPr>
          <w:p>
            <w:pPr>
              <w:pStyle w:val="7"/>
              <w:widowControl w:val="0"/>
              <w:wordWrap/>
              <w:adjustRightInd/>
              <w:snapToGrid/>
              <w:spacing w:before="0" w:beforeAutospacing="0" w:after="0" w:afterAutospacing="0" w:line="40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rPr>
              <w:t>1.领导（150分）</w:t>
            </w:r>
          </w:p>
        </w:tc>
        <w:tc>
          <w:tcPr>
            <w:tcW w:w="6339" w:type="dxa"/>
            <w:vAlign w:val="center"/>
          </w:tcPr>
          <w:p>
            <w:pPr>
              <w:pStyle w:val="7"/>
              <w:widowControl w:val="0"/>
              <w:wordWrap/>
              <w:adjustRightInd/>
              <w:snapToGrid/>
              <w:spacing w:before="0" w:beforeAutospacing="0" w:after="0" w:afterAutospacing="0" w:line="40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rPr>
              <w:t>1.1团队建设（50分）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97" w:type="dxa"/>
            <w:vMerge w:val="continue"/>
            <w:vAlign w:val="center"/>
          </w:tcPr>
          <w:p>
            <w:pPr>
              <w:pStyle w:val="7"/>
              <w:widowControl w:val="0"/>
              <w:wordWrap/>
              <w:adjustRightInd/>
              <w:snapToGrid/>
              <w:spacing w:before="0" w:beforeAutospacing="0" w:after="0" w:afterAutospacing="0" w:line="400" w:lineRule="exact"/>
              <w:jc w:val="center"/>
              <w:textAlignment w:val="auto"/>
              <w:rPr>
                <w:rFonts w:hint="default" w:ascii="Times New Roman" w:hAnsi="Times New Roman" w:eastAsia="宋体" w:cs="Times New Roman"/>
                <w:color w:val="000000"/>
                <w:spacing w:val="0"/>
                <w:w w:val="100"/>
                <w:sz w:val="24"/>
                <w:szCs w:val="24"/>
              </w:rPr>
            </w:pPr>
          </w:p>
        </w:tc>
        <w:tc>
          <w:tcPr>
            <w:tcW w:w="6339" w:type="dxa"/>
            <w:vAlign w:val="center"/>
          </w:tcPr>
          <w:p>
            <w:pPr>
              <w:pStyle w:val="7"/>
              <w:widowControl w:val="0"/>
              <w:wordWrap/>
              <w:adjustRightInd/>
              <w:snapToGrid/>
              <w:spacing w:before="0" w:beforeAutospacing="0" w:after="0" w:afterAutospacing="0" w:line="40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rPr>
              <w:t>1.2文化理念（50分）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97" w:type="dxa"/>
            <w:vMerge w:val="continue"/>
            <w:vAlign w:val="center"/>
          </w:tcPr>
          <w:p>
            <w:pPr>
              <w:pStyle w:val="7"/>
              <w:widowControl w:val="0"/>
              <w:wordWrap/>
              <w:adjustRightInd/>
              <w:snapToGrid/>
              <w:spacing w:before="0" w:beforeAutospacing="0" w:after="0" w:afterAutospacing="0" w:line="400" w:lineRule="exact"/>
              <w:jc w:val="center"/>
              <w:textAlignment w:val="auto"/>
              <w:rPr>
                <w:rFonts w:hint="default" w:ascii="Times New Roman" w:hAnsi="Times New Roman" w:eastAsia="宋体" w:cs="Times New Roman"/>
                <w:color w:val="000000"/>
                <w:spacing w:val="0"/>
                <w:w w:val="100"/>
                <w:sz w:val="24"/>
                <w:szCs w:val="24"/>
              </w:rPr>
            </w:pPr>
          </w:p>
        </w:tc>
        <w:tc>
          <w:tcPr>
            <w:tcW w:w="6339" w:type="dxa"/>
            <w:vAlign w:val="center"/>
          </w:tcPr>
          <w:p>
            <w:pPr>
              <w:pStyle w:val="7"/>
              <w:widowControl w:val="0"/>
              <w:wordWrap/>
              <w:adjustRightInd/>
              <w:snapToGrid/>
              <w:spacing w:before="0" w:beforeAutospacing="0" w:after="0" w:afterAutospacing="0" w:line="40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rPr>
              <w:t>1.3社会责任（50分）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97" w:type="dxa"/>
            <w:vMerge w:val="restart"/>
            <w:vAlign w:val="center"/>
          </w:tcPr>
          <w:p>
            <w:pPr>
              <w:pStyle w:val="7"/>
              <w:widowControl w:val="0"/>
              <w:wordWrap/>
              <w:adjustRightInd/>
              <w:snapToGrid/>
              <w:spacing w:before="0" w:beforeAutospacing="0" w:after="0" w:afterAutospacing="0" w:line="40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rPr>
              <w:t>2.质量（3</w:t>
            </w:r>
            <w:r>
              <w:rPr>
                <w:rFonts w:hint="eastAsia" w:ascii="Times New Roman" w:hAnsi="Times New Roman" w:eastAsia="宋体" w:cs="Times New Roman"/>
                <w:color w:val="000000"/>
                <w:spacing w:val="0"/>
                <w:w w:val="100"/>
                <w:sz w:val="24"/>
                <w:szCs w:val="24"/>
                <w:lang w:val="en-US" w:eastAsia="zh-CN"/>
              </w:rPr>
              <w:t>00</w:t>
            </w:r>
            <w:r>
              <w:rPr>
                <w:rFonts w:hint="default" w:ascii="Times New Roman" w:hAnsi="Times New Roman" w:eastAsia="宋体" w:cs="Times New Roman"/>
                <w:color w:val="000000"/>
                <w:spacing w:val="0"/>
                <w:w w:val="100"/>
                <w:sz w:val="24"/>
                <w:szCs w:val="24"/>
              </w:rPr>
              <w:t>分）</w:t>
            </w:r>
          </w:p>
        </w:tc>
        <w:tc>
          <w:tcPr>
            <w:tcW w:w="6339" w:type="dxa"/>
            <w:vAlign w:val="center"/>
          </w:tcPr>
          <w:p>
            <w:pPr>
              <w:pStyle w:val="7"/>
              <w:widowControl w:val="0"/>
              <w:wordWrap/>
              <w:adjustRightInd/>
              <w:snapToGrid/>
              <w:spacing w:before="0" w:beforeAutospacing="0" w:after="0" w:afterAutospacing="0" w:line="400" w:lineRule="exact"/>
              <w:jc w:val="center"/>
              <w:textAlignment w:val="auto"/>
              <w:rPr>
                <w:rFonts w:hint="default" w:ascii="Times New Roman" w:hAnsi="Times New Roman" w:eastAsia="宋体" w:cs="Times New Roman"/>
                <w:color w:val="000000"/>
                <w:spacing w:val="0"/>
                <w:w w:val="100"/>
                <w:sz w:val="24"/>
                <w:szCs w:val="24"/>
                <w:lang w:val="en-US" w:eastAsia="zh-CN"/>
              </w:rPr>
            </w:pPr>
            <w:r>
              <w:rPr>
                <w:rFonts w:hint="default" w:ascii="Times New Roman" w:hAnsi="Times New Roman" w:eastAsia="宋体" w:cs="Times New Roman"/>
                <w:color w:val="000000"/>
                <w:spacing w:val="0"/>
                <w:w w:val="100"/>
                <w:sz w:val="24"/>
                <w:szCs w:val="24"/>
                <w:lang w:val="en-US" w:eastAsia="zh-CN"/>
              </w:rPr>
              <w:t>2</w:t>
            </w:r>
            <w:r>
              <w:rPr>
                <w:rFonts w:hint="default" w:ascii="Times New Roman" w:hAnsi="Times New Roman" w:eastAsia="宋体" w:cs="Times New Roman"/>
                <w:color w:val="000000"/>
                <w:spacing w:val="0"/>
                <w:w w:val="100"/>
                <w:sz w:val="24"/>
                <w:szCs w:val="24"/>
              </w:rPr>
              <w:t>.1质量管理（60分）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97" w:type="dxa"/>
            <w:vMerge w:val="continue"/>
            <w:vAlign w:val="center"/>
          </w:tcPr>
          <w:p>
            <w:pPr>
              <w:pStyle w:val="7"/>
              <w:widowControl w:val="0"/>
              <w:wordWrap/>
              <w:adjustRightInd/>
              <w:snapToGrid/>
              <w:spacing w:before="0" w:beforeAutospacing="0" w:after="0" w:afterAutospacing="0" w:line="400" w:lineRule="exact"/>
              <w:jc w:val="center"/>
              <w:textAlignment w:val="auto"/>
              <w:rPr>
                <w:rFonts w:hint="default" w:ascii="Times New Roman" w:hAnsi="Times New Roman" w:eastAsia="宋体" w:cs="Times New Roman"/>
                <w:color w:val="000000"/>
                <w:spacing w:val="0"/>
                <w:w w:val="100"/>
                <w:sz w:val="24"/>
                <w:szCs w:val="24"/>
              </w:rPr>
            </w:pPr>
          </w:p>
        </w:tc>
        <w:tc>
          <w:tcPr>
            <w:tcW w:w="6339" w:type="dxa"/>
            <w:vAlign w:val="center"/>
          </w:tcPr>
          <w:p>
            <w:pPr>
              <w:pStyle w:val="7"/>
              <w:widowControl w:val="0"/>
              <w:wordWrap/>
              <w:adjustRightInd/>
              <w:snapToGrid/>
              <w:spacing w:before="0" w:beforeAutospacing="0" w:after="0" w:afterAutospacing="0" w:line="400" w:lineRule="exact"/>
              <w:jc w:val="center"/>
              <w:textAlignment w:val="auto"/>
              <w:rPr>
                <w:rFonts w:hint="default" w:ascii="Times New Roman" w:hAnsi="Times New Roman" w:eastAsia="宋体" w:cs="Times New Roman"/>
                <w:color w:val="000000"/>
                <w:spacing w:val="0"/>
                <w:w w:val="100"/>
                <w:sz w:val="24"/>
                <w:szCs w:val="24"/>
                <w:lang w:val="en-US" w:eastAsia="zh-CN"/>
              </w:rPr>
            </w:pPr>
            <w:r>
              <w:rPr>
                <w:rFonts w:hint="default" w:ascii="Times New Roman" w:hAnsi="Times New Roman" w:eastAsia="宋体" w:cs="Times New Roman"/>
                <w:color w:val="000000"/>
                <w:spacing w:val="0"/>
                <w:w w:val="100"/>
                <w:sz w:val="24"/>
                <w:szCs w:val="24"/>
                <w:lang w:val="en-US" w:eastAsia="zh-CN"/>
              </w:rPr>
              <w:t>2</w:t>
            </w:r>
            <w:r>
              <w:rPr>
                <w:rFonts w:hint="default" w:ascii="Times New Roman" w:hAnsi="Times New Roman" w:eastAsia="宋体" w:cs="Times New Roman"/>
                <w:color w:val="000000"/>
                <w:spacing w:val="0"/>
                <w:w w:val="100"/>
                <w:sz w:val="24"/>
                <w:szCs w:val="24"/>
              </w:rPr>
              <w:t>.2质量安全（70分）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97" w:type="dxa"/>
            <w:vMerge w:val="continue"/>
            <w:vAlign w:val="center"/>
          </w:tcPr>
          <w:p>
            <w:pPr>
              <w:pStyle w:val="7"/>
              <w:widowControl w:val="0"/>
              <w:wordWrap/>
              <w:adjustRightInd/>
              <w:snapToGrid/>
              <w:spacing w:before="0" w:beforeAutospacing="0" w:after="0" w:afterAutospacing="0" w:line="400" w:lineRule="exact"/>
              <w:jc w:val="center"/>
              <w:textAlignment w:val="auto"/>
              <w:rPr>
                <w:rFonts w:hint="default" w:ascii="Times New Roman" w:hAnsi="Times New Roman" w:eastAsia="宋体" w:cs="Times New Roman"/>
                <w:color w:val="000000"/>
                <w:spacing w:val="0"/>
                <w:w w:val="100"/>
                <w:sz w:val="24"/>
                <w:szCs w:val="24"/>
              </w:rPr>
            </w:pPr>
          </w:p>
        </w:tc>
        <w:tc>
          <w:tcPr>
            <w:tcW w:w="6339" w:type="dxa"/>
            <w:vAlign w:val="center"/>
          </w:tcPr>
          <w:p>
            <w:pPr>
              <w:pStyle w:val="7"/>
              <w:widowControl w:val="0"/>
              <w:wordWrap/>
              <w:adjustRightInd/>
              <w:snapToGrid/>
              <w:spacing w:before="0" w:beforeAutospacing="0" w:after="0" w:afterAutospacing="0" w:line="400" w:lineRule="exact"/>
              <w:jc w:val="center"/>
              <w:textAlignment w:val="auto"/>
              <w:rPr>
                <w:rFonts w:hint="default" w:ascii="Times New Roman" w:hAnsi="Times New Roman" w:eastAsia="宋体" w:cs="Times New Roman"/>
                <w:color w:val="000000"/>
                <w:spacing w:val="0"/>
                <w:w w:val="100"/>
                <w:sz w:val="24"/>
                <w:szCs w:val="24"/>
                <w:lang w:val="en-US" w:eastAsia="zh-CN"/>
              </w:rPr>
            </w:pPr>
            <w:r>
              <w:rPr>
                <w:rFonts w:hint="default" w:ascii="Times New Roman" w:hAnsi="Times New Roman" w:eastAsia="宋体" w:cs="Times New Roman"/>
                <w:color w:val="000000"/>
                <w:spacing w:val="0"/>
                <w:w w:val="100"/>
                <w:sz w:val="24"/>
                <w:szCs w:val="24"/>
                <w:lang w:val="en-US" w:eastAsia="zh-CN"/>
              </w:rPr>
              <w:t>2</w:t>
            </w:r>
            <w:r>
              <w:rPr>
                <w:rFonts w:hint="default" w:ascii="Times New Roman" w:hAnsi="Times New Roman" w:eastAsia="宋体" w:cs="Times New Roman"/>
                <w:color w:val="000000"/>
                <w:spacing w:val="0"/>
                <w:w w:val="100"/>
                <w:sz w:val="24"/>
                <w:szCs w:val="24"/>
              </w:rPr>
              <w:t>.3医防协同（50分）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97" w:type="dxa"/>
            <w:vMerge w:val="continue"/>
            <w:vAlign w:val="center"/>
          </w:tcPr>
          <w:p>
            <w:pPr>
              <w:pStyle w:val="7"/>
              <w:widowControl w:val="0"/>
              <w:wordWrap/>
              <w:adjustRightInd/>
              <w:snapToGrid/>
              <w:spacing w:before="0" w:beforeAutospacing="0" w:after="0" w:afterAutospacing="0" w:line="400" w:lineRule="exact"/>
              <w:jc w:val="center"/>
              <w:textAlignment w:val="auto"/>
              <w:rPr>
                <w:rFonts w:hint="default" w:ascii="Times New Roman" w:hAnsi="Times New Roman" w:eastAsia="宋体" w:cs="Times New Roman"/>
                <w:color w:val="000000"/>
                <w:spacing w:val="0"/>
                <w:w w:val="100"/>
                <w:sz w:val="24"/>
                <w:szCs w:val="24"/>
              </w:rPr>
            </w:pPr>
          </w:p>
        </w:tc>
        <w:tc>
          <w:tcPr>
            <w:tcW w:w="6339" w:type="dxa"/>
            <w:vAlign w:val="center"/>
          </w:tcPr>
          <w:p>
            <w:pPr>
              <w:pStyle w:val="7"/>
              <w:widowControl w:val="0"/>
              <w:wordWrap/>
              <w:adjustRightInd/>
              <w:snapToGrid/>
              <w:spacing w:before="0" w:beforeAutospacing="0" w:after="0" w:afterAutospacing="0" w:line="400" w:lineRule="exact"/>
              <w:jc w:val="center"/>
              <w:textAlignment w:val="auto"/>
              <w:rPr>
                <w:rFonts w:hint="default" w:ascii="Times New Roman" w:hAnsi="Times New Roman" w:eastAsia="宋体" w:cs="Times New Roman"/>
                <w:color w:val="000000"/>
                <w:spacing w:val="0"/>
                <w:w w:val="100"/>
                <w:sz w:val="24"/>
                <w:szCs w:val="24"/>
                <w:lang w:val="en-US" w:eastAsia="zh-CN"/>
              </w:rPr>
            </w:pPr>
            <w:r>
              <w:rPr>
                <w:rFonts w:hint="default" w:ascii="Times New Roman" w:hAnsi="Times New Roman" w:eastAsia="宋体" w:cs="Times New Roman"/>
                <w:color w:val="000000"/>
                <w:spacing w:val="0"/>
                <w:w w:val="100"/>
                <w:sz w:val="24"/>
                <w:szCs w:val="24"/>
                <w:lang w:val="en-US" w:eastAsia="zh-CN"/>
              </w:rPr>
              <w:t>2</w:t>
            </w:r>
            <w:r>
              <w:rPr>
                <w:rFonts w:hint="default" w:ascii="Times New Roman" w:hAnsi="Times New Roman" w:eastAsia="宋体" w:cs="Times New Roman"/>
                <w:color w:val="000000"/>
                <w:spacing w:val="0"/>
                <w:w w:val="100"/>
                <w:sz w:val="24"/>
                <w:szCs w:val="24"/>
              </w:rPr>
              <w:t>.4教育培训（65分）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97" w:type="dxa"/>
            <w:vMerge w:val="continue"/>
            <w:vAlign w:val="center"/>
          </w:tcPr>
          <w:p>
            <w:pPr>
              <w:pStyle w:val="7"/>
              <w:widowControl w:val="0"/>
              <w:wordWrap/>
              <w:adjustRightInd/>
              <w:snapToGrid/>
              <w:spacing w:before="0" w:beforeAutospacing="0" w:after="0" w:afterAutospacing="0" w:line="400" w:lineRule="exact"/>
              <w:jc w:val="center"/>
              <w:textAlignment w:val="auto"/>
              <w:rPr>
                <w:rFonts w:hint="default" w:ascii="Times New Roman" w:hAnsi="Times New Roman" w:eastAsia="宋体" w:cs="Times New Roman"/>
                <w:color w:val="000000"/>
                <w:spacing w:val="0"/>
                <w:w w:val="100"/>
                <w:sz w:val="24"/>
                <w:szCs w:val="24"/>
              </w:rPr>
            </w:pPr>
          </w:p>
        </w:tc>
        <w:tc>
          <w:tcPr>
            <w:tcW w:w="6339" w:type="dxa"/>
            <w:vAlign w:val="center"/>
          </w:tcPr>
          <w:p>
            <w:pPr>
              <w:pStyle w:val="7"/>
              <w:widowControl w:val="0"/>
              <w:wordWrap/>
              <w:adjustRightInd/>
              <w:snapToGrid/>
              <w:spacing w:before="0" w:beforeAutospacing="0" w:after="0" w:afterAutospacing="0" w:line="400" w:lineRule="exact"/>
              <w:jc w:val="center"/>
              <w:textAlignment w:val="auto"/>
              <w:rPr>
                <w:rFonts w:hint="default" w:ascii="Times New Roman" w:hAnsi="Times New Roman" w:eastAsia="宋体" w:cs="Times New Roman"/>
                <w:color w:val="000000"/>
                <w:spacing w:val="0"/>
                <w:w w:val="100"/>
                <w:sz w:val="24"/>
                <w:szCs w:val="24"/>
                <w:lang w:val="en-US" w:eastAsia="zh-CN"/>
              </w:rPr>
            </w:pPr>
            <w:r>
              <w:rPr>
                <w:rFonts w:hint="default" w:ascii="Times New Roman" w:hAnsi="Times New Roman" w:eastAsia="宋体" w:cs="Times New Roman"/>
                <w:color w:val="000000"/>
                <w:spacing w:val="0"/>
                <w:w w:val="100"/>
                <w:sz w:val="24"/>
                <w:szCs w:val="24"/>
                <w:lang w:val="en-US" w:eastAsia="zh-CN"/>
              </w:rPr>
              <w:t>2</w:t>
            </w:r>
            <w:r>
              <w:rPr>
                <w:rFonts w:hint="default" w:ascii="Times New Roman" w:hAnsi="Times New Roman" w:eastAsia="宋体" w:cs="Times New Roman"/>
                <w:color w:val="000000"/>
                <w:spacing w:val="0"/>
                <w:w w:val="100"/>
                <w:sz w:val="24"/>
                <w:szCs w:val="24"/>
              </w:rPr>
              <w:t>.5持续改进（55分）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97" w:type="dxa"/>
            <w:vMerge w:val="restart"/>
            <w:vAlign w:val="center"/>
          </w:tcPr>
          <w:p>
            <w:pPr>
              <w:pStyle w:val="7"/>
              <w:widowControl w:val="0"/>
              <w:wordWrap/>
              <w:adjustRightInd/>
              <w:snapToGrid/>
              <w:spacing w:before="0" w:beforeAutospacing="0" w:after="0" w:afterAutospacing="0" w:line="40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rPr>
              <w:t>3.创新（</w:t>
            </w:r>
            <w:r>
              <w:rPr>
                <w:rFonts w:hint="eastAsia" w:ascii="Times New Roman" w:hAnsi="Times New Roman" w:eastAsia="宋体" w:cs="Times New Roman"/>
                <w:color w:val="000000"/>
                <w:spacing w:val="0"/>
                <w:w w:val="100"/>
                <w:sz w:val="24"/>
                <w:szCs w:val="24"/>
                <w:lang w:val="en-US" w:eastAsia="zh-CN"/>
              </w:rPr>
              <w:t>200</w:t>
            </w:r>
            <w:r>
              <w:rPr>
                <w:rFonts w:hint="default" w:ascii="Times New Roman" w:hAnsi="Times New Roman" w:eastAsia="宋体" w:cs="Times New Roman"/>
                <w:color w:val="000000"/>
                <w:spacing w:val="0"/>
                <w:w w:val="100"/>
                <w:sz w:val="24"/>
                <w:szCs w:val="24"/>
              </w:rPr>
              <w:t>分）</w:t>
            </w:r>
          </w:p>
        </w:tc>
        <w:tc>
          <w:tcPr>
            <w:tcW w:w="6339" w:type="dxa"/>
            <w:vAlign w:val="center"/>
          </w:tcPr>
          <w:p>
            <w:pPr>
              <w:pStyle w:val="7"/>
              <w:widowControl w:val="0"/>
              <w:wordWrap/>
              <w:adjustRightInd/>
              <w:snapToGrid/>
              <w:spacing w:before="0" w:beforeAutospacing="0" w:after="0" w:afterAutospacing="0" w:line="40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lang w:val="en-US" w:eastAsia="zh-CN"/>
              </w:rPr>
              <w:t>3</w:t>
            </w:r>
            <w:r>
              <w:rPr>
                <w:rFonts w:hint="default" w:ascii="Times New Roman" w:hAnsi="Times New Roman" w:eastAsia="宋体" w:cs="Times New Roman"/>
                <w:color w:val="000000"/>
                <w:spacing w:val="0"/>
                <w:w w:val="100"/>
                <w:sz w:val="24"/>
                <w:szCs w:val="24"/>
              </w:rPr>
              <w:t>.1创新能力（80分）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97" w:type="dxa"/>
            <w:vMerge w:val="continue"/>
            <w:vAlign w:val="center"/>
          </w:tcPr>
          <w:p>
            <w:pPr>
              <w:pStyle w:val="7"/>
              <w:widowControl w:val="0"/>
              <w:wordWrap/>
              <w:adjustRightInd/>
              <w:snapToGrid/>
              <w:spacing w:before="0" w:beforeAutospacing="0" w:after="0" w:afterAutospacing="0" w:line="400" w:lineRule="exact"/>
              <w:jc w:val="center"/>
              <w:textAlignment w:val="auto"/>
              <w:rPr>
                <w:rFonts w:hint="default" w:ascii="Times New Roman" w:hAnsi="Times New Roman" w:eastAsia="宋体" w:cs="Times New Roman"/>
                <w:color w:val="000000"/>
                <w:spacing w:val="0"/>
                <w:w w:val="100"/>
                <w:sz w:val="24"/>
                <w:szCs w:val="24"/>
              </w:rPr>
            </w:pPr>
          </w:p>
        </w:tc>
        <w:tc>
          <w:tcPr>
            <w:tcW w:w="6339" w:type="dxa"/>
            <w:vAlign w:val="center"/>
          </w:tcPr>
          <w:p>
            <w:pPr>
              <w:pStyle w:val="7"/>
              <w:widowControl w:val="0"/>
              <w:wordWrap/>
              <w:adjustRightInd/>
              <w:snapToGrid/>
              <w:spacing w:before="0" w:beforeAutospacing="0" w:after="0" w:afterAutospacing="0" w:line="40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lang w:val="en-US" w:eastAsia="zh-CN"/>
              </w:rPr>
              <w:t>3</w:t>
            </w:r>
            <w:r>
              <w:rPr>
                <w:rFonts w:hint="default" w:ascii="Times New Roman" w:hAnsi="Times New Roman" w:eastAsia="宋体" w:cs="Times New Roman"/>
                <w:color w:val="000000"/>
                <w:spacing w:val="0"/>
                <w:w w:val="100"/>
                <w:sz w:val="24"/>
                <w:szCs w:val="24"/>
              </w:rPr>
              <w:t>.2服务创新（60分）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97" w:type="dxa"/>
            <w:vMerge w:val="continue"/>
            <w:vAlign w:val="center"/>
          </w:tcPr>
          <w:p>
            <w:pPr>
              <w:pStyle w:val="7"/>
              <w:widowControl w:val="0"/>
              <w:wordWrap/>
              <w:adjustRightInd/>
              <w:snapToGrid/>
              <w:spacing w:before="0" w:beforeAutospacing="0" w:after="0" w:afterAutospacing="0" w:line="400" w:lineRule="exact"/>
              <w:jc w:val="center"/>
              <w:textAlignment w:val="auto"/>
              <w:rPr>
                <w:rFonts w:hint="default" w:ascii="Times New Roman" w:hAnsi="Times New Roman" w:eastAsia="宋体" w:cs="Times New Roman"/>
                <w:color w:val="000000"/>
                <w:spacing w:val="0"/>
                <w:w w:val="100"/>
                <w:sz w:val="24"/>
                <w:szCs w:val="24"/>
              </w:rPr>
            </w:pPr>
          </w:p>
        </w:tc>
        <w:tc>
          <w:tcPr>
            <w:tcW w:w="6339" w:type="dxa"/>
            <w:vAlign w:val="center"/>
          </w:tcPr>
          <w:p>
            <w:pPr>
              <w:pStyle w:val="7"/>
              <w:widowControl w:val="0"/>
              <w:wordWrap/>
              <w:adjustRightInd/>
              <w:snapToGrid/>
              <w:spacing w:before="0" w:beforeAutospacing="0" w:after="0" w:afterAutospacing="0" w:line="40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lang w:val="en-US" w:eastAsia="zh-CN"/>
              </w:rPr>
              <w:t>3</w:t>
            </w:r>
            <w:r>
              <w:rPr>
                <w:rFonts w:hint="default" w:ascii="Times New Roman" w:hAnsi="Times New Roman" w:eastAsia="宋体" w:cs="Times New Roman"/>
                <w:color w:val="000000"/>
                <w:spacing w:val="0"/>
                <w:w w:val="100"/>
                <w:sz w:val="24"/>
                <w:szCs w:val="24"/>
              </w:rPr>
              <w:t>.3技术创新（60分）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97" w:type="dxa"/>
            <w:vMerge w:val="restart"/>
            <w:vAlign w:val="center"/>
          </w:tcPr>
          <w:p>
            <w:pPr>
              <w:pStyle w:val="7"/>
              <w:widowControl w:val="0"/>
              <w:wordWrap/>
              <w:adjustRightInd/>
              <w:snapToGrid/>
              <w:spacing w:before="0" w:beforeAutospacing="0" w:after="0" w:afterAutospacing="0" w:line="40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rPr>
              <w:t>4.</w:t>
            </w:r>
            <w:r>
              <w:rPr>
                <w:rFonts w:hint="default" w:ascii="Times New Roman" w:hAnsi="Times New Roman" w:eastAsia="宋体" w:cs="Times New Roman"/>
                <w:color w:val="000000"/>
                <w:spacing w:val="0"/>
                <w:w w:val="100"/>
                <w:sz w:val="24"/>
                <w:szCs w:val="24"/>
                <w:lang w:eastAsia="zh-CN"/>
              </w:rPr>
              <w:t>品牌</w:t>
            </w:r>
            <w:r>
              <w:rPr>
                <w:rFonts w:hint="default" w:ascii="Times New Roman" w:hAnsi="Times New Roman" w:eastAsia="宋体" w:cs="Times New Roman"/>
                <w:color w:val="000000"/>
                <w:spacing w:val="0"/>
                <w:w w:val="100"/>
                <w:sz w:val="24"/>
                <w:szCs w:val="24"/>
              </w:rPr>
              <w:t>（150分）</w:t>
            </w:r>
          </w:p>
        </w:tc>
        <w:tc>
          <w:tcPr>
            <w:tcW w:w="6339" w:type="dxa"/>
            <w:vAlign w:val="center"/>
          </w:tcPr>
          <w:p>
            <w:pPr>
              <w:pStyle w:val="7"/>
              <w:widowControl w:val="0"/>
              <w:wordWrap/>
              <w:adjustRightInd/>
              <w:snapToGrid/>
              <w:spacing w:before="0" w:beforeAutospacing="0" w:after="0" w:afterAutospacing="0" w:line="40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rPr>
              <w:t>4.1医患关系（75分）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97" w:type="dxa"/>
            <w:vMerge w:val="continue"/>
            <w:vAlign w:val="center"/>
          </w:tcPr>
          <w:p>
            <w:pPr>
              <w:pStyle w:val="7"/>
              <w:widowControl w:val="0"/>
              <w:wordWrap/>
              <w:adjustRightInd/>
              <w:snapToGrid/>
              <w:spacing w:before="0" w:beforeAutospacing="0" w:after="0" w:afterAutospacing="0" w:line="400" w:lineRule="exact"/>
              <w:jc w:val="center"/>
              <w:textAlignment w:val="auto"/>
              <w:rPr>
                <w:rFonts w:hint="default" w:ascii="Times New Roman" w:hAnsi="Times New Roman" w:eastAsia="宋体" w:cs="Times New Roman"/>
                <w:color w:val="000000"/>
                <w:spacing w:val="0"/>
                <w:w w:val="100"/>
                <w:sz w:val="24"/>
                <w:szCs w:val="24"/>
              </w:rPr>
            </w:pPr>
          </w:p>
        </w:tc>
        <w:tc>
          <w:tcPr>
            <w:tcW w:w="6339" w:type="dxa"/>
            <w:vAlign w:val="center"/>
          </w:tcPr>
          <w:p>
            <w:pPr>
              <w:pStyle w:val="7"/>
              <w:widowControl w:val="0"/>
              <w:wordWrap/>
              <w:adjustRightInd/>
              <w:snapToGrid/>
              <w:spacing w:before="0" w:beforeAutospacing="0" w:after="0" w:afterAutospacing="0" w:line="40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rPr>
              <w:t>4.2医务保护（75分）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97" w:type="dxa"/>
            <w:vMerge w:val="restart"/>
            <w:vAlign w:val="center"/>
          </w:tcPr>
          <w:p>
            <w:pPr>
              <w:pStyle w:val="7"/>
              <w:widowControl w:val="0"/>
              <w:wordWrap/>
              <w:adjustRightInd/>
              <w:snapToGrid/>
              <w:spacing w:before="0" w:beforeAutospacing="0" w:after="0" w:afterAutospacing="0" w:line="40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rPr>
              <w:t>5.效益（</w:t>
            </w:r>
            <w:r>
              <w:rPr>
                <w:rFonts w:hint="eastAsia" w:ascii="Times New Roman" w:hAnsi="Times New Roman" w:eastAsia="宋体" w:cs="Times New Roman"/>
                <w:color w:val="000000"/>
                <w:spacing w:val="0"/>
                <w:w w:val="100"/>
                <w:sz w:val="24"/>
                <w:szCs w:val="24"/>
                <w:lang w:val="en-US" w:eastAsia="zh-CN"/>
              </w:rPr>
              <w:t>200</w:t>
            </w:r>
            <w:r>
              <w:rPr>
                <w:rFonts w:hint="default" w:ascii="Times New Roman" w:hAnsi="Times New Roman" w:eastAsia="宋体" w:cs="Times New Roman"/>
                <w:color w:val="000000"/>
                <w:spacing w:val="0"/>
                <w:w w:val="100"/>
                <w:sz w:val="24"/>
                <w:szCs w:val="24"/>
              </w:rPr>
              <w:t>分）</w:t>
            </w:r>
          </w:p>
        </w:tc>
        <w:tc>
          <w:tcPr>
            <w:tcW w:w="6339" w:type="dxa"/>
            <w:vAlign w:val="center"/>
          </w:tcPr>
          <w:p>
            <w:pPr>
              <w:pStyle w:val="7"/>
              <w:widowControl w:val="0"/>
              <w:wordWrap/>
              <w:adjustRightInd/>
              <w:snapToGrid/>
              <w:spacing w:before="0" w:beforeAutospacing="0" w:after="0" w:afterAutospacing="0" w:line="400" w:lineRule="exact"/>
              <w:jc w:val="center"/>
              <w:textAlignment w:val="auto"/>
              <w:rPr>
                <w:rFonts w:hint="default" w:ascii="Times New Roman" w:hAnsi="Times New Roman" w:eastAsia="宋体" w:cs="Times New Roman"/>
                <w:color w:val="000000"/>
                <w:spacing w:val="0"/>
                <w:w w:val="100"/>
                <w:sz w:val="24"/>
                <w:szCs w:val="24"/>
                <w:lang w:val="en-US" w:eastAsia="zh-CN"/>
              </w:rPr>
            </w:pPr>
            <w:r>
              <w:rPr>
                <w:rFonts w:hint="eastAsia" w:ascii="Times New Roman" w:hAnsi="Times New Roman" w:eastAsia="宋体" w:cs="Times New Roman"/>
                <w:color w:val="000000"/>
                <w:spacing w:val="0"/>
                <w:w w:val="100"/>
                <w:sz w:val="24"/>
                <w:szCs w:val="24"/>
                <w:lang w:val="en-US" w:eastAsia="zh-CN"/>
              </w:rPr>
              <w:t>5.1</w:t>
            </w:r>
            <w:r>
              <w:rPr>
                <w:rFonts w:hint="default" w:ascii="Times New Roman" w:hAnsi="Times New Roman" w:eastAsia="宋体" w:cs="Times New Roman"/>
                <w:color w:val="000000"/>
                <w:spacing w:val="0"/>
                <w:w w:val="100"/>
                <w:sz w:val="24"/>
                <w:szCs w:val="24"/>
              </w:rPr>
              <w:t>质量水平（50分）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97" w:type="dxa"/>
            <w:vMerge w:val="continue"/>
            <w:vAlign w:val="center"/>
          </w:tcPr>
          <w:p>
            <w:pPr>
              <w:pStyle w:val="7"/>
              <w:widowControl w:val="0"/>
              <w:wordWrap/>
              <w:adjustRightInd/>
              <w:snapToGrid/>
              <w:spacing w:before="0" w:beforeAutospacing="0" w:after="0" w:afterAutospacing="0" w:line="400" w:lineRule="exact"/>
              <w:jc w:val="center"/>
              <w:textAlignment w:val="auto"/>
              <w:rPr>
                <w:rFonts w:hint="default" w:ascii="Times New Roman" w:hAnsi="Times New Roman" w:eastAsia="宋体" w:cs="Times New Roman"/>
                <w:color w:val="000000"/>
                <w:spacing w:val="0"/>
                <w:w w:val="100"/>
                <w:sz w:val="24"/>
                <w:szCs w:val="24"/>
              </w:rPr>
            </w:pPr>
          </w:p>
        </w:tc>
        <w:tc>
          <w:tcPr>
            <w:tcW w:w="6339" w:type="dxa"/>
            <w:vAlign w:val="center"/>
          </w:tcPr>
          <w:p>
            <w:pPr>
              <w:pStyle w:val="7"/>
              <w:widowControl w:val="0"/>
              <w:wordWrap/>
              <w:adjustRightInd/>
              <w:snapToGrid/>
              <w:spacing w:before="0" w:beforeAutospacing="0" w:after="0" w:afterAutospacing="0" w:line="400" w:lineRule="exact"/>
              <w:jc w:val="center"/>
              <w:textAlignment w:val="auto"/>
              <w:rPr>
                <w:rFonts w:hint="default" w:ascii="Times New Roman" w:hAnsi="Times New Roman" w:eastAsia="宋体" w:cs="Times New Roman"/>
                <w:color w:val="000000"/>
                <w:spacing w:val="0"/>
                <w:w w:val="100"/>
                <w:sz w:val="24"/>
                <w:szCs w:val="24"/>
                <w:lang w:val="en-US" w:eastAsia="zh-CN"/>
              </w:rPr>
            </w:pPr>
            <w:r>
              <w:rPr>
                <w:rFonts w:hint="eastAsia" w:ascii="Times New Roman" w:hAnsi="Times New Roman" w:eastAsia="宋体" w:cs="Times New Roman"/>
                <w:color w:val="000000"/>
                <w:spacing w:val="0"/>
                <w:w w:val="100"/>
                <w:sz w:val="24"/>
                <w:szCs w:val="24"/>
                <w:lang w:val="en-US" w:eastAsia="zh-CN"/>
              </w:rPr>
              <w:t>5.2</w:t>
            </w:r>
            <w:r>
              <w:rPr>
                <w:rFonts w:hint="default" w:ascii="Times New Roman" w:hAnsi="Times New Roman" w:eastAsia="宋体" w:cs="Times New Roman"/>
                <w:color w:val="000000"/>
                <w:spacing w:val="0"/>
                <w:w w:val="100"/>
                <w:sz w:val="24"/>
                <w:szCs w:val="24"/>
              </w:rPr>
              <w:t>创新价值（50分）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97" w:type="dxa"/>
            <w:vMerge w:val="continue"/>
            <w:vAlign w:val="center"/>
          </w:tcPr>
          <w:p>
            <w:pPr>
              <w:pStyle w:val="7"/>
              <w:widowControl w:val="0"/>
              <w:wordWrap/>
              <w:adjustRightInd/>
              <w:snapToGrid/>
              <w:spacing w:before="0" w:beforeAutospacing="0" w:after="0" w:afterAutospacing="0" w:line="400" w:lineRule="exact"/>
              <w:jc w:val="center"/>
              <w:textAlignment w:val="auto"/>
              <w:rPr>
                <w:rFonts w:hint="default" w:ascii="Times New Roman" w:hAnsi="Times New Roman" w:eastAsia="宋体" w:cs="Times New Roman"/>
                <w:color w:val="000000"/>
                <w:spacing w:val="0"/>
                <w:w w:val="100"/>
                <w:sz w:val="24"/>
                <w:szCs w:val="24"/>
              </w:rPr>
            </w:pPr>
          </w:p>
        </w:tc>
        <w:tc>
          <w:tcPr>
            <w:tcW w:w="6339" w:type="dxa"/>
            <w:vAlign w:val="center"/>
          </w:tcPr>
          <w:p>
            <w:pPr>
              <w:pStyle w:val="7"/>
              <w:widowControl w:val="0"/>
              <w:wordWrap/>
              <w:adjustRightInd/>
              <w:snapToGrid/>
              <w:spacing w:before="0" w:beforeAutospacing="0" w:after="0" w:afterAutospacing="0" w:line="400" w:lineRule="exact"/>
              <w:jc w:val="center"/>
              <w:textAlignment w:val="auto"/>
              <w:rPr>
                <w:rFonts w:hint="default" w:ascii="Times New Roman" w:hAnsi="Times New Roman" w:eastAsia="宋体" w:cs="Times New Roman"/>
                <w:color w:val="000000"/>
                <w:spacing w:val="0"/>
                <w:w w:val="100"/>
                <w:sz w:val="24"/>
                <w:szCs w:val="24"/>
              </w:rPr>
            </w:pPr>
            <w:r>
              <w:rPr>
                <w:rFonts w:hint="eastAsia" w:ascii="Times New Roman" w:hAnsi="Times New Roman" w:eastAsia="宋体" w:cs="Times New Roman"/>
                <w:color w:val="000000"/>
                <w:spacing w:val="0"/>
                <w:w w:val="100"/>
                <w:sz w:val="24"/>
                <w:szCs w:val="24"/>
                <w:lang w:val="en-US" w:eastAsia="zh-CN"/>
              </w:rPr>
              <w:t>5.3</w:t>
            </w:r>
            <w:r>
              <w:rPr>
                <w:rFonts w:hint="default" w:ascii="Times New Roman" w:hAnsi="Times New Roman" w:eastAsia="宋体" w:cs="Times New Roman"/>
                <w:color w:val="000000"/>
                <w:spacing w:val="0"/>
                <w:w w:val="100"/>
                <w:sz w:val="24"/>
                <w:szCs w:val="24"/>
              </w:rPr>
              <w:t>运营绩效（50分）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897" w:type="dxa"/>
            <w:vMerge w:val="continue"/>
            <w:vAlign w:val="center"/>
          </w:tcPr>
          <w:p>
            <w:pPr>
              <w:pStyle w:val="7"/>
              <w:widowControl w:val="0"/>
              <w:wordWrap/>
              <w:adjustRightInd/>
              <w:snapToGrid/>
              <w:spacing w:before="0" w:beforeAutospacing="0" w:after="0" w:afterAutospacing="0" w:line="400" w:lineRule="exact"/>
              <w:jc w:val="center"/>
              <w:textAlignment w:val="auto"/>
              <w:rPr>
                <w:rFonts w:hint="default" w:ascii="Times New Roman" w:hAnsi="Times New Roman" w:eastAsia="宋体" w:cs="Times New Roman"/>
                <w:color w:val="000000"/>
                <w:spacing w:val="0"/>
                <w:w w:val="100"/>
                <w:sz w:val="24"/>
                <w:szCs w:val="24"/>
              </w:rPr>
            </w:pPr>
          </w:p>
        </w:tc>
        <w:tc>
          <w:tcPr>
            <w:tcW w:w="6339" w:type="dxa"/>
            <w:vAlign w:val="center"/>
          </w:tcPr>
          <w:p>
            <w:pPr>
              <w:pStyle w:val="7"/>
              <w:widowControl w:val="0"/>
              <w:wordWrap/>
              <w:adjustRightInd/>
              <w:snapToGrid/>
              <w:spacing w:before="0" w:beforeAutospacing="0" w:after="0" w:afterAutospacing="0" w:line="40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rPr>
              <w:t>5.</w:t>
            </w:r>
            <w:r>
              <w:rPr>
                <w:rFonts w:hint="eastAsia" w:ascii="Times New Roman" w:hAnsi="Times New Roman" w:eastAsia="宋体" w:cs="Times New Roman"/>
                <w:color w:val="000000"/>
                <w:spacing w:val="0"/>
                <w:w w:val="100"/>
                <w:sz w:val="24"/>
                <w:szCs w:val="24"/>
                <w:lang w:val="en-US" w:eastAsia="zh-CN"/>
              </w:rPr>
              <w:t>4</w:t>
            </w:r>
            <w:r>
              <w:rPr>
                <w:rFonts w:hint="default" w:ascii="Times New Roman" w:hAnsi="Times New Roman" w:eastAsia="宋体" w:cs="Times New Roman"/>
                <w:color w:val="000000"/>
                <w:spacing w:val="0"/>
                <w:w w:val="100"/>
                <w:sz w:val="24"/>
                <w:szCs w:val="24"/>
              </w:rPr>
              <w:t>社会评价（50分）</w:t>
            </w:r>
          </w:p>
        </w:tc>
      </w:tr>
    </w:tbl>
    <w:p>
      <w:pPr>
        <w:widowControl w:val="0"/>
        <w:pBdr>
          <w:top w:val="none" w:color="auto" w:sz="0" w:space="0"/>
          <w:left w:val="none" w:color="auto" w:sz="0" w:space="0"/>
          <w:bottom w:val="none" w:color="auto" w:sz="0" w:space="0"/>
          <w:right w:val="none" w:color="auto" w:sz="0" w:space="0"/>
        </w:pBdr>
        <w:wordWrap/>
        <w:adjustRightInd/>
        <w:snapToGrid/>
        <w:spacing w:line="600" w:lineRule="exact"/>
        <w:ind w:left="0" w:leftChars="0" w:firstLine="640" w:firstLineChars="200"/>
        <w:textAlignment w:val="auto"/>
        <w:outlineLvl w:val="9"/>
        <w:rPr>
          <w:rFonts w:hint="default" w:ascii="Times New Roman" w:hAnsi="Times New Roman" w:eastAsia="仿宋_GB2312" w:cs="仿宋_GB2312"/>
          <w:color w:val="000000"/>
          <w:sz w:val="32"/>
          <w:szCs w:val="32"/>
        </w:rPr>
      </w:pPr>
      <w:r>
        <w:rPr>
          <w:rFonts w:hint="default" w:ascii="Times New Roman" w:hAnsi="Times New Roman" w:eastAsia="仿宋_GB2312" w:cs="仿宋_GB2312"/>
          <w:color w:val="000000"/>
          <w:sz w:val="32"/>
          <w:szCs w:val="32"/>
        </w:rPr>
        <w:t>教育机构（义务教育阶段小学、初中学校和职业院校）</w:t>
      </w:r>
      <w:r>
        <w:rPr>
          <w:rFonts w:hint="default" w:ascii="Times New Roman" w:hAnsi="Times New Roman" w:eastAsia="仿宋_GB2312" w:cs="仿宋_GB2312"/>
          <w:color w:val="000000"/>
          <w:sz w:val="32"/>
          <w:szCs w:val="32"/>
          <w:lang w:val="en-US" w:eastAsia="zh-CN"/>
        </w:rPr>
        <w:t>组织评价</w:t>
      </w:r>
      <w:r>
        <w:rPr>
          <w:rFonts w:hint="default" w:ascii="Times New Roman" w:hAnsi="Times New Roman" w:eastAsia="仿宋_GB2312" w:cs="仿宋_GB2312"/>
          <w:color w:val="000000"/>
          <w:sz w:val="32"/>
          <w:szCs w:val="32"/>
        </w:rPr>
        <w:t>指标</w:t>
      </w:r>
      <w:r>
        <w:rPr>
          <w:rFonts w:hint="default" w:ascii="Times New Roman" w:hAnsi="Times New Roman" w:eastAsia="仿宋_GB2312" w:cs="仿宋_GB2312"/>
          <w:color w:val="000000"/>
          <w:sz w:val="32"/>
          <w:szCs w:val="32"/>
          <w:lang w:val="en-US" w:eastAsia="zh-CN"/>
        </w:rPr>
        <w:t>及</w:t>
      </w:r>
      <w:r>
        <w:rPr>
          <w:rFonts w:hint="default" w:ascii="Times New Roman" w:hAnsi="Times New Roman" w:eastAsia="仿宋_GB2312" w:cs="仿宋_GB2312"/>
          <w:color w:val="000000"/>
          <w:sz w:val="32"/>
          <w:szCs w:val="32"/>
        </w:rPr>
        <w:t>分值分布如表3所示。</w:t>
      </w:r>
    </w:p>
    <w:p>
      <w:pPr>
        <w:pStyle w:val="7"/>
        <w:shd w:val="clear" w:color="auto" w:fill="FFFFFF"/>
        <w:spacing w:before="0" w:beforeAutospacing="0" w:after="0" w:afterAutospacing="0" w:line="26" w:lineRule="atLeast"/>
        <w:jc w:val="center"/>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 xml:space="preserve">表3 </w:t>
      </w:r>
      <w:r>
        <w:rPr>
          <w:rFonts w:hint="eastAsia" w:ascii="Times New Roman" w:hAnsi="Times New Roman" w:cs="Times New Roman"/>
          <w:color w:val="000000"/>
          <w:sz w:val="28"/>
          <w:szCs w:val="28"/>
          <w:lang w:val="en-US" w:eastAsia="zh-CN"/>
        </w:rPr>
        <w:t xml:space="preserve"> </w:t>
      </w:r>
      <w:r>
        <w:rPr>
          <w:rFonts w:hint="default" w:ascii="Times New Roman" w:hAnsi="Times New Roman" w:eastAsia="仿宋_GB2312" w:cs="Times New Roman"/>
          <w:color w:val="000000"/>
          <w:sz w:val="28"/>
          <w:szCs w:val="28"/>
        </w:rPr>
        <w:t>广东省政府质量奖教育机构评价指标</w:t>
      </w:r>
    </w:p>
    <w:tbl>
      <w:tblPr>
        <w:tblStyle w:val="9"/>
        <w:tblW w:w="92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09"/>
        <w:gridCol w:w="6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09" w:type="dxa"/>
            <w:vAlign w:val="center"/>
          </w:tcPr>
          <w:p>
            <w:pPr>
              <w:pStyle w:val="7"/>
              <w:spacing w:before="0" w:beforeAutospacing="0" w:after="0" w:afterAutospacing="0" w:line="26" w:lineRule="atLeast"/>
              <w:jc w:val="center"/>
              <w:rPr>
                <w:rFonts w:hint="default" w:ascii="Times New Roman" w:hAnsi="Times New Roman" w:eastAsia="黑体" w:cs="黑体"/>
                <w:b w:val="0"/>
                <w:bCs w:val="0"/>
                <w:color w:val="000000"/>
                <w:szCs w:val="22"/>
              </w:rPr>
            </w:pPr>
            <w:r>
              <w:rPr>
                <w:rFonts w:hint="default" w:ascii="Times New Roman" w:hAnsi="Times New Roman" w:eastAsia="黑体" w:cs="黑体"/>
                <w:b w:val="0"/>
                <w:bCs w:val="0"/>
                <w:color w:val="000000"/>
                <w:szCs w:val="22"/>
              </w:rPr>
              <w:t>一级评价指标</w:t>
            </w:r>
          </w:p>
        </w:tc>
        <w:tc>
          <w:tcPr>
            <w:tcW w:w="6301" w:type="dxa"/>
            <w:vAlign w:val="center"/>
          </w:tcPr>
          <w:p>
            <w:pPr>
              <w:pStyle w:val="7"/>
              <w:spacing w:before="0" w:beforeAutospacing="0" w:after="0" w:afterAutospacing="0" w:line="26" w:lineRule="atLeast"/>
              <w:jc w:val="center"/>
              <w:rPr>
                <w:rFonts w:hint="default" w:ascii="Times New Roman" w:hAnsi="Times New Roman" w:eastAsia="黑体" w:cs="黑体"/>
                <w:b w:val="0"/>
                <w:bCs w:val="0"/>
                <w:color w:val="000000"/>
                <w:szCs w:val="22"/>
              </w:rPr>
            </w:pPr>
            <w:r>
              <w:rPr>
                <w:rFonts w:hint="default" w:ascii="Times New Roman" w:hAnsi="Times New Roman" w:eastAsia="黑体" w:cs="黑体"/>
                <w:b w:val="0"/>
                <w:bCs w:val="0"/>
                <w:color w:val="000000"/>
                <w:szCs w:val="22"/>
              </w:rPr>
              <w:t>二级评价指标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09" w:type="dxa"/>
            <w:vMerge w:val="restart"/>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rPr>
              <w:t>1.领导（150分）</w:t>
            </w:r>
          </w:p>
        </w:tc>
        <w:tc>
          <w:tcPr>
            <w:tcW w:w="6301" w:type="dxa"/>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rPr>
              <w:t>1.1文化理念（30分）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09" w:type="dxa"/>
            <w:vMerge w:val="continue"/>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p>
        </w:tc>
        <w:tc>
          <w:tcPr>
            <w:tcW w:w="6301" w:type="dxa"/>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rPr>
              <w:t>1.2办学方向（50分）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09" w:type="dxa"/>
            <w:vMerge w:val="continue"/>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p>
        </w:tc>
        <w:tc>
          <w:tcPr>
            <w:tcW w:w="6301" w:type="dxa"/>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rPr>
              <w:t>1.3学校管理（40分）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09" w:type="dxa"/>
            <w:vMerge w:val="continue"/>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p>
        </w:tc>
        <w:tc>
          <w:tcPr>
            <w:tcW w:w="6301" w:type="dxa"/>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rPr>
              <w:t>1.4社会责任（30分）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09" w:type="dxa"/>
            <w:vMerge w:val="restart"/>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rPr>
              <w:t>2.质量（300分）</w:t>
            </w:r>
          </w:p>
        </w:tc>
        <w:tc>
          <w:tcPr>
            <w:tcW w:w="6301" w:type="dxa"/>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lang w:val="en-US" w:eastAsia="zh-CN"/>
              </w:rPr>
            </w:pPr>
            <w:r>
              <w:rPr>
                <w:rFonts w:hint="default" w:ascii="Times New Roman" w:hAnsi="Times New Roman" w:eastAsia="宋体" w:cs="Times New Roman"/>
                <w:color w:val="000000"/>
                <w:spacing w:val="0"/>
                <w:w w:val="100"/>
                <w:sz w:val="24"/>
                <w:szCs w:val="24"/>
                <w:lang w:val="en-US" w:eastAsia="zh-CN"/>
              </w:rPr>
              <w:t>2</w:t>
            </w:r>
            <w:r>
              <w:rPr>
                <w:rFonts w:hint="default" w:ascii="Times New Roman" w:hAnsi="Times New Roman" w:eastAsia="宋体" w:cs="Times New Roman"/>
                <w:color w:val="000000"/>
                <w:spacing w:val="0"/>
                <w:w w:val="100"/>
                <w:sz w:val="24"/>
                <w:szCs w:val="24"/>
              </w:rPr>
              <w:t>.1管理体系（60分）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09" w:type="dxa"/>
            <w:vMerge w:val="continue"/>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p>
        </w:tc>
        <w:tc>
          <w:tcPr>
            <w:tcW w:w="6301" w:type="dxa"/>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lang w:val="en-US" w:eastAsia="zh-CN"/>
              </w:rPr>
            </w:pPr>
            <w:r>
              <w:rPr>
                <w:rFonts w:hint="default" w:ascii="Times New Roman" w:hAnsi="Times New Roman" w:eastAsia="宋体" w:cs="Times New Roman"/>
                <w:color w:val="000000"/>
                <w:spacing w:val="0"/>
                <w:w w:val="100"/>
                <w:sz w:val="24"/>
                <w:szCs w:val="24"/>
                <w:lang w:val="en-US" w:eastAsia="zh-CN"/>
              </w:rPr>
              <w:t>2</w:t>
            </w:r>
            <w:r>
              <w:rPr>
                <w:rFonts w:hint="default" w:ascii="Times New Roman" w:hAnsi="Times New Roman" w:eastAsia="宋体" w:cs="Times New Roman"/>
                <w:color w:val="000000"/>
                <w:spacing w:val="0"/>
                <w:w w:val="100"/>
                <w:sz w:val="24"/>
                <w:szCs w:val="24"/>
              </w:rPr>
              <w:t>.2教学质量（60分）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09" w:type="dxa"/>
            <w:vMerge w:val="continue"/>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p>
        </w:tc>
        <w:tc>
          <w:tcPr>
            <w:tcW w:w="6301" w:type="dxa"/>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lang w:val="en-US" w:eastAsia="zh-CN"/>
              </w:rPr>
            </w:pPr>
            <w:r>
              <w:rPr>
                <w:rFonts w:hint="default" w:ascii="Times New Roman" w:hAnsi="Times New Roman" w:eastAsia="宋体" w:cs="Times New Roman"/>
                <w:color w:val="000000"/>
                <w:spacing w:val="0"/>
                <w:w w:val="100"/>
                <w:sz w:val="24"/>
                <w:szCs w:val="24"/>
                <w:lang w:val="en-US" w:eastAsia="zh-CN"/>
              </w:rPr>
              <w:t>2</w:t>
            </w:r>
            <w:r>
              <w:rPr>
                <w:rFonts w:hint="default" w:ascii="Times New Roman" w:hAnsi="Times New Roman" w:eastAsia="宋体" w:cs="Times New Roman"/>
                <w:color w:val="000000"/>
                <w:spacing w:val="0"/>
                <w:w w:val="100"/>
                <w:sz w:val="24"/>
                <w:szCs w:val="24"/>
              </w:rPr>
              <w:t>.3质量安全（60分）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09" w:type="dxa"/>
            <w:vMerge w:val="continue"/>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p>
        </w:tc>
        <w:tc>
          <w:tcPr>
            <w:tcW w:w="6301" w:type="dxa"/>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lang w:val="en-US" w:eastAsia="zh-CN"/>
              </w:rPr>
            </w:pPr>
            <w:r>
              <w:rPr>
                <w:rFonts w:hint="default" w:ascii="Times New Roman" w:hAnsi="Times New Roman" w:eastAsia="宋体" w:cs="Times New Roman"/>
                <w:color w:val="000000"/>
                <w:spacing w:val="0"/>
                <w:w w:val="100"/>
                <w:sz w:val="24"/>
                <w:szCs w:val="24"/>
                <w:lang w:val="en-US" w:eastAsia="zh-CN"/>
              </w:rPr>
              <w:t>2</w:t>
            </w:r>
            <w:r>
              <w:rPr>
                <w:rFonts w:hint="default" w:ascii="Times New Roman" w:hAnsi="Times New Roman" w:eastAsia="宋体" w:cs="Times New Roman"/>
                <w:color w:val="000000"/>
                <w:spacing w:val="0"/>
                <w:w w:val="100"/>
                <w:sz w:val="24"/>
                <w:szCs w:val="24"/>
              </w:rPr>
              <w:t>.4师资素养（60分）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09" w:type="dxa"/>
            <w:vMerge w:val="continue"/>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p>
        </w:tc>
        <w:tc>
          <w:tcPr>
            <w:tcW w:w="6301" w:type="dxa"/>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lang w:val="en-US" w:eastAsia="zh-CN"/>
              </w:rPr>
            </w:pPr>
            <w:r>
              <w:rPr>
                <w:rFonts w:hint="default" w:ascii="Times New Roman" w:hAnsi="Times New Roman" w:eastAsia="宋体" w:cs="Times New Roman"/>
                <w:color w:val="000000"/>
                <w:spacing w:val="0"/>
                <w:w w:val="100"/>
                <w:sz w:val="24"/>
                <w:szCs w:val="24"/>
                <w:lang w:val="en-US" w:eastAsia="zh-CN"/>
              </w:rPr>
              <w:t>2</w:t>
            </w:r>
            <w:r>
              <w:rPr>
                <w:rFonts w:hint="default" w:ascii="Times New Roman" w:hAnsi="Times New Roman" w:eastAsia="宋体" w:cs="Times New Roman"/>
                <w:color w:val="000000"/>
                <w:spacing w:val="0"/>
                <w:w w:val="100"/>
                <w:sz w:val="24"/>
                <w:szCs w:val="24"/>
              </w:rPr>
              <w:t>.5质量改进（60分）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09" w:type="dxa"/>
            <w:vMerge w:val="restart"/>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rPr>
              <w:t>3.创新（200分）</w:t>
            </w:r>
          </w:p>
        </w:tc>
        <w:tc>
          <w:tcPr>
            <w:tcW w:w="6301" w:type="dxa"/>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lang w:val="en-US" w:eastAsia="zh-CN"/>
              </w:rPr>
              <w:t>3</w:t>
            </w:r>
            <w:r>
              <w:rPr>
                <w:rFonts w:hint="default" w:ascii="Times New Roman" w:hAnsi="Times New Roman" w:eastAsia="宋体" w:cs="Times New Roman"/>
                <w:color w:val="000000"/>
                <w:spacing w:val="0"/>
                <w:w w:val="100"/>
                <w:sz w:val="24"/>
                <w:szCs w:val="24"/>
              </w:rPr>
              <w:t>.1创新平台（80分）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09" w:type="dxa"/>
            <w:vMerge w:val="continue"/>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p>
        </w:tc>
        <w:tc>
          <w:tcPr>
            <w:tcW w:w="6301" w:type="dxa"/>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lang w:val="en-US" w:eastAsia="zh-CN"/>
              </w:rPr>
              <w:t>3</w:t>
            </w:r>
            <w:r>
              <w:rPr>
                <w:rFonts w:hint="default" w:ascii="Times New Roman" w:hAnsi="Times New Roman" w:eastAsia="宋体" w:cs="Times New Roman"/>
                <w:color w:val="000000"/>
                <w:spacing w:val="0"/>
                <w:w w:val="100"/>
                <w:sz w:val="24"/>
                <w:szCs w:val="24"/>
              </w:rPr>
              <w:t>.2管理创新（60分）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09" w:type="dxa"/>
            <w:vMerge w:val="continue"/>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p>
        </w:tc>
        <w:tc>
          <w:tcPr>
            <w:tcW w:w="6301" w:type="dxa"/>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lang w:val="en-US" w:eastAsia="zh-CN"/>
              </w:rPr>
              <w:t>3</w:t>
            </w:r>
            <w:r>
              <w:rPr>
                <w:rFonts w:hint="default" w:ascii="Times New Roman" w:hAnsi="Times New Roman" w:eastAsia="宋体" w:cs="Times New Roman"/>
                <w:color w:val="000000"/>
                <w:spacing w:val="0"/>
                <w:w w:val="100"/>
                <w:sz w:val="24"/>
                <w:szCs w:val="24"/>
              </w:rPr>
              <w:t>.3技术创新（60分）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09" w:type="dxa"/>
            <w:vMerge w:val="restart"/>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rPr>
              <w:t>4.</w:t>
            </w:r>
            <w:r>
              <w:rPr>
                <w:rFonts w:hint="default" w:ascii="Times New Roman" w:hAnsi="Times New Roman" w:eastAsia="宋体" w:cs="Times New Roman"/>
                <w:color w:val="000000"/>
                <w:spacing w:val="0"/>
                <w:w w:val="100"/>
                <w:sz w:val="24"/>
                <w:szCs w:val="24"/>
                <w:lang w:eastAsia="zh-CN"/>
              </w:rPr>
              <w:t>品牌</w:t>
            </w:r>
            <w:r>
              <w:rPr>
                <w:rFonts w:hint="default" w:ascii="Times New Roman" w:hAnsi="Times New Roman" w:eastAsia="宋体" w:cs="Times New Roman"/>
                <w:color w:val="000000"/>
                <w:spacing w:val="0"/>
                <w:w w:val="100"/>
                <w:sz w:val="24"/>
                <w:szCs w:val="24"/>
              </w:rPr>
              <w:t>（150分）</w:t>
            </w:r>
          </w:p>
        </w:tc>
        <w:tc>
          <w:tcPr>
            <w:tcW w:w="6301" w:type="dxa"/>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rPr>
              <w:t>4.1学校条件（50分）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09" w:type="dxa"/>
            <w:vMerge w:val="continue"/>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p>
        </w:tc>
        <w:tc>
          <w:tcPr>
            <w:tcW w:w="6301" w:type="dxa"/>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rPr>
              <w:t>4.2沟通反馈（50分）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09" w:type="dxa"/>
            <w:vMerge w:val="continue"/>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p>
        </w:tc>
        <w:tc>
          <w:tcPr>
            <w:tcW w:w="6301" w:type="dxa"/>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rPr>
              <w:t>4.3办学评价（50分）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09" w:type="dxa"/>
            <w:vMerge w:val="restart"/>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rPr>
              <w:t>5.效益（200分）</w:t>
            </w:r>
          </w:p>
        </w:tc>
        <w:tc>
          <w:tcPr>
            <w:tcW w:w="6301" w:type="dxa"/>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lang w:val="en-US" w:eastAsia="zh-CN"/>
              </w:rPr>
            </w:pPr>
            <w:r>
              <w:rPr>
                <w:rFonts w:hint="eastAsia" w:ascii="Times New Roman" w:hAnsi="Times New Roman" w:eastAsia="宋体" w:cs="Times New Roman"/>
                <w:color w:val="000000"/>
                <w:spacing w:val="0"/>
                <w:w w:val="100"/>
                <w:sz w:val="24"/>
                <w:szCs w:val="24"/>
                <w:lang w:val="en-US" w:eastAsia="zh-CN"/>
              </w:rPr>
              <w:t>5.1</w:t>
            </w:r>
            <w:r>
              <w:rPr>
                <w:rFonts w:hint="default" w:ascii="Times New Roman" w:hAnsi="Times New Roman" w:eastAsia="宋体" w:cs="Times New Roman"/>
                <w:color w:val="000000"/>
                <w:spacing w:val="0"/>
                <w:w w:val="100"/>
                <w:sz w:val="24"/>
                <w:szCs w:val="24"/>
              </w:rPr>
              <w:t>教学水平（50分）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09" w:type="dxa"/>
            <w:vMerge w:val="continue"/>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p>
        </w:tc>
        <w:tc>
          <w:tcPr>
            <w:tcW w:w="6301" w:type="dxa"/>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lang w:val="en-US" w:eastAsia="zh-CN"/>
              </w:rPr>
            </w:pPr>
            <w:r>
              <w:rPr>
                <w:rFonts w:hint="eastAsia" w:ascii="Times New Roman" w:hAnsi="Times New Roman" w:eastAsia="宋体" w:cs="Times New Roman"/>
                <w:color w:val="000000"/>
                <w:spacing w:val="0"/>
                <w:w w:val="100"/>
                <w:sz w:val="24"/>
                <w:szCs w:val="24"/>
                <w:lang w:val="en-US" w:eastAsia="zh-CN"/>
              </w:rPr>
              <w:t>5.2</w:t>
            </w:r>
            <w:r>
              <w:rPr>
                <w:rFonts w:hint="default" w:ascii="Times New Roman" w:hAnsi="Times New Roman" w:eastAsia="宋体" w:cs="Times New Roman"/>
                <w:color w:val="000000"/>
                <w:spacing w:val="0"/>
                <w:w w:val="100"/>
                <w:sz w:val="24"/>
                <w:szCs w:val="24"/>
              </w:rPr>
              <w:t>创新价值（50分）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09" w:type="dxa"/>
            <w:vMerge w:val="continue"/>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p>
        </w:tc>
        <w:tc>
          <w:tcPr>
            <w:tcW w:w="6301" w:type="dxa"/>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rPr>
              <w:t>5.</w:t>
            </w:r>
            <w:r>
              <w:rPr>
                <w:rFonts w:hint="eastAsia" w:ascii="Times New Roman" w:hAnsi="Times New Roman" w:eastAsia="宋体" w:cs="Times New Roman"/>
                <w:color w:val="000000"/>
                <w:spacing w:val="0"/>
                <w:w w:val="100"/>
                <w:sz w:val="24"/>
                <w:szCs w:val="24"/>
                <w:lang w:val="en-US" w:eastAsia="zh-CN"/>
              </w:rPr>
              <w:t>3</w:t>
            </w:r>
            <w:r>
              <w:rPr>
                <w:rFonts w:hint="default" w:ascii="Times New Roman" w:hAnsi="Times New Roman" w:eastAsia="宋体" w:cs="Times New Roman"/>
                <w:color w:val="000000"/>
                <w:spacing w:val="0"/>
                <w:w w:val="100"/>
                <w:sz w:val="24"/>
                <w:szCs w:val="24"/>
              </w:rPr>
              <w:t>社会认可（50分）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09" w:type="dxa"/>
            <w:vMerge w:val="continue"/>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p>
        </w:tc>
        <w:tc>
          <w:tcPr>
            <w:tcW w:w="6301" w:type="dxa"/>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rPr>
              <w:t>5.</w:t>
            </w:r>
            <w:r>
              <w:rPr>
                <w:rFonts w:hint="eastAsia" w:ascii="Times New Roman" w:hAnsi="Times New Roman" w:eastAsia="宋体" w:cs="Times New Roman"/>
                <w:color w:val="000000"/>
                <w:spacing w:val="0"/>
                <w:w w:val="100"/>
                <w:sz w:val="24"/>
                <w:szCs w:val="24"/>
                <w:lang w:val="en-US" w:eastAsia="zh-CN"/>
              </w:rPr>
              <w:t>4</w:t>
            </w:r>
            <w:r>
              <w:rPr>
                <w:rFonts w:hint="default" w:ascii="Times New Roman" w:hAnsi="Times New Roman" w:eastAsia="宋体" w:cs="Times New Roman"/>
                <w:color w:val="000000"/>
                <w:spacing w:val="0"/>
                <w:w w:val="100"/>
                <w:sz w:val="24"/>
                <w:szCs w:val="24"/>
              </w:rPr>
              <w:t>社会效益（50分）</w:t>
            </w:r>
          </w:p>
        </w:tc>
      </w:tr>
    </w:tbl>
    <w:p>
      <w:pPr>
        <w:widowControl w:val="0"/>
        <w:pBdr>
          <w:top w:val="none" w:color="auto" w:sz="0" w:space="0"/>
          <w:left w:val="none" w:color="auto" w:sz="0" w:space="0"/>
          <w:bottom w:val="none" w:color="auto" w:sz="0" w:space="0"/>
          <w:right w:val="none" w:color="auto" w:sz="0" w:space="0"/>
        </w:pBdr>
        <w:wordWrap/>
        <w:adjustRightInd/>
        <w:snapToGrid/>
        <w:spacing w:line="600" w:lineRule="exact"/>
        <w:ind w:left="0" w:leftChars="0" w:firstLine="640" w:firstLineChars="200"/>
        <w:textAlignment w:val="auto"/>
        <w:outlineLvl w:val="9"/>
        <w:rPr>
          <w:rFonts w:hint="default" w:ascii="Times New Roman" w:hAnsi="Times New Roman" w:eastAsia="仿宋_GB2312" w:cs="仿宋_GB2312"/>
          <w:color w:val="000000"/>
          <w:sz w:val="32"/>
          <w:szCs w:val="32"/>
        </w:rPr>
      </w:pPr>
      <w:r>
        <w:rPr>
          <w:rFonts w:hint="default" w:ascii="Times New Roman" w:hAnsi="Times New Roman" w:eastAsia="仿宋_GB2312" w:cs="仿宋_GB2312"/>
          <w:color w:val="000000"/>
          <w:sz w:val="32"/>
          <w:szCs w:val="32"/>
        </w:rPr>
        <w:t>一线班组</w:t>
      </w:r>
      <w:r>
        <w:rPr>
          <w:rFonts w:hint="default" w:ascii="Times New Roman" w:hAnsi="Times New Roman" w:eastAsia="仿宋_GB2312" w:cs="仿宋_GB2312"/>
          <w:color w:val="000000"/>
          <w:sz w:val="32"/>
          <w:szCs w:val="32"/>
          <w:lang w:val="en-US" w:eastAsia="zh-CN"/>
        </w:rPr>
        <w:t>评价</w:t>
      </w:r>
      <w:r>
        <w:rPr>
          <w:rFonts w:hint="default" w:ascii="Times New Roman" w:hAnsi="Times New Roman" w:eastAsia="仿宋_GB2312" w:cs="仿宋_GB2312"/>
          <w:color w:val="000000"/>
          <w:sz w:val="32"/>
          <w:szCs w:val="32"/>
        </w:rPr>
        <w:t>指标</w:t>
      </w:r>
      <w:r>
        <w:rPr>
          <w:rFonts w:hint="default" w:ascii="Times New Roman" w:hAnsi="Times New Roman" w:eastAsia="仿宋_GB2312" w:cs="仿宋_GB2312"/>
          <w:color w:val="000000"/>
          <w:sz w:val="32"/>
          <w:szCs w:val="32"/>
          <w:lang w:val="en-US" w:eastAsia="zh-CN"/>
        </w:rPr>
        <w:t>及</w:t>
      </w:r>
      <w:r>
        <w:rPr>
          <w:rFonts w:hint="default" w:ascii="Times New Roman" w:hAnsi="Times New Roman" w:eastAsia="仿宋_GB2312" w:cs="仿宋_GB2312"/>
          <w:color w:val="000000"/>
          <w:sz w:val="32"/>
          <w:szCs w:val="32"/>
        </w:rPr>
        <w:t>分值分布如表</w:t>
      </w:r>
      <w:r>
        <w:rPr>
          <w:rFonts w:hint="eastAsia" w:ascii="Times New Roman" w:hAnsi="Times New Roman" w:cs="仿宋_GB2312"/>
          <w:color w:val="000000"/>
          <w:sz w:val="32"/>
          <w:szCs w:val="32"/>
          <w:lang w:val="en-US" w:eastAsia="zh-CN"/>
        </w:rPr>
        <w:t>4</w:t>
      </w:r>
      <w:r>
        <w:rPr>
          <w:rFonts w:hint="default" w:ascii="Times New Roman" w:hAnsi="Times New Roman" w:eastAsia="仿宋_GB2312" w:cs="仿宋_GB2312"/>
          <w:color w:val="000000"/>
          <w:sz w:val="32"/>
          <w:szCs w:val="32"/>
        </w:rPr>
        <w:t>所示。</w:t>
      </w:r>
    </w:p>
    <w:p>
      <w:pPr>
        <w:pStyle w:val="7"/>
        <w:shd w:val="clear" w:color="auto" w:fill="FFFFFF"/>
        <w:spacing w:before="0" w:beforeAutospacing="0" w:after="0" w:afterAutospacing="0" w:line="26" w:lineRule="atLeast"/>
        <w:jc w:val="center"/>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表</w:t>
      </w:r>
      <w:r>
        <w:rPr>
          <w:rFonts w:hint="eastAsia" w:ascii="Times New Roman" w:hAnsi="Times New Roman" w:eastAsia="仿宋_GB2312" w:cs="Times New Roman"/>
          <w:color w:val="000000"/>
          <w:sz w:val="28"/>
          <w:szCs w:val="28"/>
          <w:lang w:val="en-US" w:eastAsia="zh-CN"/>
        </w:rPr>
        <w:t xml:space="preserve">4  </w:t>
      </w:r>
      <w:r>
        <w:rPr>
          <w:rFonts w:hint="default" w:ascii="Times New Roman" w:hAnsi="Times New Roman" w:eastAsia="仿宋_GB2312" w:cs="Times New Roman"/>
          <w:color w:val="000000"/>
          <w:sz w:val="28"/>
          <w:szCs w:val="28"/>
        </w:rPr>
        <w:t>广东省政府质量奖一线班组评价指标</w:t>
      </w:r>
    </w:p>
    <w:tbl>
      <w:tblPr>
        <w:tblStyle w:val="9"/>
        <w:tblW w:w="91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28"/>
        <w:gridCol w:w="61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28" w:type="dxa"/>
            <w:vAlign w:val="center"/>
          </w:tcPr>
          <w:p>
            <w:pPr>
              <w:pStyle w:val="7"/>
              <w:spacing w:before="0" w:beforeAutospacing="0" w:after="0" w:afterAutospacing="0" w:line="26" w:lineRule="atLeast"/>
              <w:jc w:val="center"/>
              <w:rPr>
                <w:rFonts w:hint="default" w:ascii="Times New Roman" w:hAnsi="Times New Roman" w:eastAsia="黑体" w:cs="黑体"/>
                <w:b w:val="0"/>
                <w:bCs w:val="0"/>
                <w:color w:val="000000"/>
                <w:szCs w:val="22"/>
              </w:rPr>
            </w:pPr>
            <w:r>
              <w:rPr>
                <w:rFonts w:hint="default" w:ascii="Times New Roman" w:hAnsi="Times New Roman" w:eastAsia="黑体" w:cs="黑体"/>
                <w:b w:val="0"/>
                <w:bCs w:val="0"/>
                <w:color w:val="000000"/>
                <w:szCs w:val="22"/>
              </w:rPr>
              <w:t>一级评价指标</w:t>
            </w:r>
          </w:p>
        </w:tc>
        <w:tc>
          <w:tcPr>
            <w:tcW w:w="6181" w:type="dxa"/>
            <w:vAlign w:val="center"/>
          </w:tcPr>
          <w:p>
            <w:pPr>
              <w:pStyle w:val="7"/>
              <w:spacing w:before="0" w:beforeAutospacing="0" w:after="0" w:afterAutospacing="0" w:line="26" w:lineRule="atLeast"/>
              <w:jc w:val="center"/>
              <w:rPr>
                <w:rFonts w:hint="default" w:ascii="Times New Roman" w:hAnsi="Times New Roman" w:eastAsia="黑体" w:cs="黑体"/>
                <w:b w:val="0"/>
                <w:bCs w:val="0"/>
                <w:color w:val="000000"/>
                <w:szCs w:val="22"/>
              </w:rPr>
            </w:pPr>
            <w:r>
              <w:rPr>
                <w:rFonts w:hint="default" w:ascii="Times New Roman" w:hAnsi="Times New Roman" w:eastAsia="黑体" w:cs="黑体"/>
                <w:b w:val="0"/>
                <w:bCs w:val="0"/>
                <w:color w:val="000000"/>
                <w:szCs w:val="22"/>
              </w:rPr>
              <w:t>二级评价指标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28" w:type="dxa"/>
            <w:vMerge w:val="restart"/>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rPr>
              <w:t>1.领导（150分）</w:t>
            </w:r>
          </w:p>
        </w:tc>
        <w:tc>
          <w:tcPr>
            <w:tcW w:w="6181" w:type="dxa"/>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rPr>
              <w:t>1.1组织机构（50分）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28" w:type="dxa"/>
            <w:vMerge w:val="continue"/>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p>
        </w:tc>
        <w:tc>
          <w:tcPr>
            <w:tcW w:w="6181" w:type="dxa"/>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rPr>
              <w:t>1.2文化理念（50分）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28" w:type="dxa"/>
            <w:vMerge w:val="continue"/>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p>
        </w:tc>
        <w:tc>
          <w:tcPr>
            <w:tcW w:w="6181" w:type="dxa"/>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rPr>
              <w:t>1.3基础管理（50分）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28" w:type="dxa"/>
            <w:vMerge w:val="restart"/>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lang w:val="en-US" w:eastAsia="zh-CN"/>
              </w:rPr>
            </w:pPr>
            <w:r>
              <w:rPr>
                <w:rFonts w:hint="default" w:ascii="Times New Roman" w:hAnsi="Times New Roman" w:eastAsia="宋体" w:cs="Times New Roman"/>
                <w:color w:val="000000"/>
                <w:spacing w:val="0"/>
                <w:w w:val="100"/>
                <w:sz w:val="24"/>
                <w:szCs w:val="24"/>
                <w:lang w:val="en-US" w:eastAsia="zh-CN"/>
              </w:rPr>
              <w:t>2</w:t>
            </w:r>
            <w:r>
              <w:rPr>
                <w:rFonts w:hint="default" w:ascii="Times New Roman" w:hAnsi="Times New Roman" w:eastAsia="宋体" w:cs="Times New Roman"/>
                <w:color w:val="000000"/>
                <w:spacing w:val="0"/>
                <w:w w:val="100"/>
                <w:sz w:val="24"/>
                <w:szCs w:val="24"/>
              </w:rPr>
              <w:t>.质量（3</w:t>
            </w:r>
            <w:r>
              <w:rPr>
                <w:rFonts w:hint="eastAsia" w:ascii="Times New Roman" w:hAnsi="Times New Roman" w:eastAsia="宋体" w:cs="Times New Roman"/>
                <w:color w:val="000000"/>
                <w:spacing w:val="0"/>
                <w:w w:val="100"/>
                <w:sz w:val="24"/>
                <w:szCs w:val="24"/>
                <w:lang w:val="en-US" w:eastAsia="zh-CN"/>
              </w:rPr>
              <w:t>5</w:t>
            </w:r>
            <w:r>
              <w:rPr>
                <w:rFonts w:hint="default" w:ascii="Times New Roman" w:hAnsi="Times New Roman" w:eastAsia="宋体" w:cs="Times New Roman"/>
                <w:color w:val="000000"/>
                <w:spacing w:val="0"/>
                <w:w w:val="100"/>
                <w:sz w:val="24"/>
                <w:szCs w:val="24"/>
              </w:rPr>
              <w:t>0分）</w:t>
            </w:r>
          </w:p>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p>
        </w:tc>
        <w:tc>
          <w:tcPr>
            <w:tcW w:w="6181" w:type="dxa"/>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lang w:val="en-US" w:eastAsia="zh-CN"/>
              </w:rPr>
            </w:pPr>
            <w:r>
              <w:rPr>
                <w:rFonts w:hint="default" w:ascii="Times New Roman" w:hAnsi="Times New Roman" w:eastAsia="宋体" w:cs="Times New Roman"/>
                <w:color w:val="000000"/>
                <w:spacing w:val="0"/>
                <w:w w:val="100"/>
                <w:sz w:val="24"/>
                <w:szCs w:val="24"/>
                <w:lang w:val="en-US" w:eastAsia="zh-CN"/>
              </w:rPr>
              <w:t>2</w:t>
            </w:r>
            <w:r>
              <w:rPr>
                <w:rFonts w:hint="default" w:ascii="Times New Roman" w:hAnsi="Times New Roman" w:eastAsia="宋体" w:cs="Times New Roman"/>
                <w:color w:val="000000"/>
                <w:spacing w:val="0"/>
                <w:w w:val="100"/>
                <w:sz w:val="24"/>
                <w:szCs w:val="24"/>
              </w:rPr>
              <w:t>.1质量安全（90分）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28" w:type="dxa"/>
            <w:vMerge w:val="continue"/>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p>
        </w:tc>
        <w:tc>
          <w:tcPr>
            <w:tcW w:w="6181" w:type="dxa"/>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lang w:val="en-US" w:eastAsia="zh-CN"/>
              </w:rPr>
            </w:pPr>
            <w:r>
              <w:rPr>
                <w:rFonts w:hint="default" w:ascii="Times New Roman" w:hAnsi="Times New Roman" w:eastAsia="宋体" w:cs="Times New Roman"/>
                <w:color w:val="000000"/>
                <w:spacing w:val="0"/>
                <w:w w:val="100"/>
                <w:sz w:val="24"/>
                <w:szCs w:val="24"/>
                <w:lang w:val="en-US" w:eastAsia="zh-CN"/>
              </w:rPr>
              <w:t>2</w:t>
            </w:r>
            <w:r>
              <w:rPr>
                <w:rFonts w:hint="default" w:ascii="Times New Roman" w:hAnsi="Times New Roman" w:eastAsia="宋体" w:cs="Times New Roman"/>
                <w:color w:val="000000"/>
                <w:spacing w:val="0"/>
                <w:w w:val="100"/>
                <w:sz w:val="24"/>
                <w:szCs w:val="24"/>
              </w:rPr>
              <w:t>.2质量管理（85分）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28" w:type="dxa"/>
            <w:vMerge w:val="continue"/>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p>
        </w:tc>
        <w:tc>
          <w:tcPr>
            <w:tcW w:w="6181" w:type="dxa"/>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lang w:val="en-US" w:eastAsia="zh-CN"/>
              </w:rPr>
            </w:pPr>
            <w:r>
              <w:rPr>
                <w:rFonts w:hint="default" w:ascii="Times New Roman" w:hAnsi="Times New Roman" w:eastAsia="宋体" w:cs="Times New Roman"/>
                <w:color w:val="000000"/>
                <w:spacing w:val="0"/>
                <w:w w:val="100"/>
                <w:sz w:val="24"/>
                <w:szCs w:val="24"/>
                <w:lang w:val="en-US" w:eastAsia="zh-CN"/>
              </w:rPr>
              <w:t>2</w:t>
            </w:r>
            <w:r>
              <w:rPr>
                <w:rFonts w:hint="default" w:ascii="Times New Roman" w:hAnsi="Times New Roman" w:eastAsia="宋体" w:cs="Times New Roman"/>
                <w:color w:val="000000"/>
                <w:spacing w:val="0"/>
                <w:w w:val="100"/>
                <w:sz w:val="24"/>
                <w:szCs w:val="24"/>
              </w:rPr>
              <w:t>.3教育培训（85分）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28" w:type="dxa"/>
            <w:vMerge w:val="continue"/>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p>
        </w:tc>
        <w:tc>
          <w:tcPr>
            <w:tcW w:w="6181" w:type="dxa"/>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lang w:val="en-US" w:eastAsia="zh-CN"/>
              </w:rPr>
            </w:pPr>
            <w:r>
              <w:rPr>
                <w:rFonts w:hint="default" w:ascii="Times New Roman" w:hAnsi="Times New Roman" w:eastAsia="宋体" w:cs="Times New Roman"/>
                <w:color w:val="000000"/>
                <w:spacing w:val="0"/>
                <w:w w:val="100"/>
                <w:sz w:val="24"/>
                <w:szCs w:val="24"/>
                <w:lang w:val="en-US" w:eastAsia="zh-CN"/>
              </w:rPr>
              <w:t>2</w:t>
            </w:r>
            <w:r>
              <w:rPr>
                <w:rFonts w:hint="default" w:ascii="Times New Roman" w:hAnsi="Times New Roman" w:eastAsia="宋体" w:cs="Times New Roman"/>
                <w:color w:val="000000"/>
                <w:spacing w:val="0"/>
                <w:w w:val="100"/>
                <w:sz w:val="24"/>
                <w:szCs w:val="24"/>
              </w:rPr>
              <w:t>.4质量改进（90分）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28" w:type="dxa"/>
            <w:vMerge w:val="restart"/>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lang w:val="en-US" w:eastAsia="zh-CN"/>
              </w:rPr>
              <w:t>3</w:t>
            </w:r>
            <w:r>
              <w:rPr>
                <w:rFonts w:hint="default" w:ascii="Times New Roman" w:hAnsi="Times New Roman" w:eastAsia="宋体" w:cs="Times New Roman"/>
                <w:color w:val="000000"/>
                <w:spacing w:val="0"/>
                <w:w w:val="100"/>
                <w:sz w:val="24"/>
                <w:szCs w:val="24"/>
              </w:rPr>
              <w:t>.创新（2</w:t>
            </w:r>
            <w:r>
              <w:rPr>
                <w:rFonts w:hint="eastAsia" w:ascii="Times New Roman" w:hAnsi="Times New Roman" w:eastAsia="宋体" w:cs="Times New Roman"/>
                <w:color w:val="000000"/>
                <w:spacing w:val="0"/>
                <w:w w:val="100"/>
                <w:sz w:val="24"/>
                <w:szCs w:val="24"/>
                <w:lang w:val="en-US" w:eastAsia="zh-CN"/>
              </w:rPr>
              <w:t>50</w:t>
            </w:r>
            <w:r>
              <w:rPr>
                <w:rFonts w:hint="default" w:ascii="Times New Roman" w:hAnsi="Times New Roman" w:eastAsia="宋体" w:cs="Times New Roman"/>
                <w:color w:val="000000"/>
                <w:spacing w:val="0"/>
                <w:w w:val="100"/>
                <w:sz w:val="24"/>
                <w:szCs w:val="24"/>
              </w:rPr>
              <w:t>分）</w:t>
            </w:r>
          </w:p>
        </w:tc>
        <w:tc>
          <w:tcPr>
            <w:tcW w:w="6181" w:type="dxa"/>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lang w:val="en-US" w:eastAsia="zh-CN"/>
              </w:rPr>
              <w:t>3</w:t>
            </w:r>
            <w:r>
              <w:rPr>
                <w:rFonts w:hint="default" w:ascii="Times New Roman" w:hAnsi="Times New Roman" w:eastAsia="宋体" w:cs="Times New Roman"/>
                <w:color w:val="000000"/>
                <w:spacing w:val="0"/>
                <w:w w:val="100"/>
                <w:sz w:val="24"/>
                <w:szCs w:val="24"/>
              </w:rPr>
              <w:t>.1创新能力（90分）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28" w:type="dxa"/>
            <w:vMerge w:val="continue"/>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p>
        </w:tc>
        <w:tc>
          <w:tcPr>
            <w:tcW w:w="6181" w:type="dxa"/>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lang w:val="en-US" w:eastAsia="zh-CN"/>
              </w:rPr>
              <w:t>3</w:t>
            </w:r>
            <w:r>
              <w:rPr>
                <w:rFonts w:hint="default" w:ascii="Times New Roman" w:hAnsi="Times New Roman" w:eastAsia="宋体" w:cs="Times New Roman"/>
                <w:color w:val="000000"/>
                <w:spacing w:val="0"/>
                <w:w w:val="100"/>
                <w:sz w:val="24"/>
                <w:szCs w:val="24"/>
              </w:rPr>
              <w:t>.2管理创新（80分）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28" w:type="dxa"/>
            <w:vMerge w:val="continue"/>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p>
        </w:tc>
        <w:tc>
          <w:tcPr>
            <w:tcW w:w="6181" w:type="dxa"/>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lang w:val="en-US" w:eastAsia="zh-CN"/>
              </w:rPr>
              <w:t>3</w:t>
            </w:r>
            <w:r>
              <w:rPr>
                <w:rFonts w:hint="default" w:ascii="Times New Roman" w:hAnsi="Times New Roman" w:eastAsia="宋体" w:cs="Times New Roman"/>
                <w:color w:val="000000"/>
                <w:spacing w:val="0"/>
                <w:w w:val="100"/>
                <w:sz w:val="24"/>
                <w:szCs w:val="24"/>
              </w:rPr>
              <w:t>.3技术创新（80分）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28" w:type="dxa"/>
            <w:vMerge w:val="restart"/>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rPr>
              <w:t>4.品牌（100分）</w:t>
            </w:r>
          </w:p>
        </w:tc>
        <w:tc>
          <w:tcPr>
            <w:tcW w:w="6181" w:type="dxa"/>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rPr>
              <w:t>4.1品牌规划（50分）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28" w:type="dxa"/>
            <w:vMerge w:val="continue"/>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p>
        </w:tc>
        <w:tc>
          <w:tcPr>
            <w:tcW w:w="6181" w:type="dxa"/>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rPr>
              <w:t>4.2品牌管理（50分）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28" w:type="dxa"/>
            <w:vMerge w:val="restart"/>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rPr>
              <w:t>5.效益（</w:t>
            </w:r>
            <w:r>
              <w:rPr>
                <w:rFonts w:hint="eastAsia" w:ascii="Times New Roman" w:hAnsi="Times New Roman" w:eastAsia="宋体" w:cs="Times New Roman"/>
                <w:color w:val="000000"/>
                <w:spacing w:val="0"/>
                <w:w w:val="100"/>
                <w:sz w:val="24"/>
                <w:szCs w:val="24"/>
                <w:lang w:val="en-US" w:eastAsia="zh-CN"/>
              </w:rPr>
              <w:t>150</w:t>
            </w:r>
            <w:r>
              <w:rPr>
                <w:rFonts w:hint="default" w:ascii="Times New Roman" w:hAnsi="Times New Roman" w:eastAsia="宋体" w:cs="Times New Roman"/>
                <w:color w:val="000000"/>
                <w:spacing w:val="0"/>
                <w:w w:val="100"/>
                <w:sz w:val="24"/>
                <w:szCs w:val="24"/>
              </w:rPr>
              <w:t>分）</w:t>
            </w:r>
          </w:p>
        </w:tc>
        <w:tc>
          <w:tcPr>
            <w:tcW w:w="6181" w:type="dxa"/>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lang w:val="en-US" w:eastAsia="zh-CN"/>
              </w:rPr>
            </w:pPr>
            <w:r>
              <w:rPr>
                <w:rFonts w:hint="eastAsia" w:ascii="Times New Roman" w:hAnsi="Times New Roman" w:eastAsia="宋体" w:cs="Times New Roman"/>
                <w:color w:val="000000"/>
                <w:spacing w:val="0"/>
                <w:w w:val="100"/>
                <w:sz w:val="24"/>
                <w:szCs w:val="24"/>
                <w:lang w:val="en-US" w:eastAsia="zh-CN"/>
              </w:rPr>
              <w:t>5.1</w:t>
            </w:r>
            <w:r>
              <w:rPr>
                <w:rFonts w:hint="default" w:ascii="Times New Roman" w:hAnsi="Times New Roman" w:eastAsia="宋体" w:cs="Times New Roman"/>
                <w:color w:val="000000"/>
                <w:spacing w:val="0"/>
                <w:w w:val="100"/>
                <w:sz w:val="24"/>
                <w:szCs w:val="24"/>
              </w:rPr>
              <w:t>质量水平（40分）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2928" w:type="dxa"/>
            <w:vMerge w:val="continue"/>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p>
        </w:tc>
        <w:tc>
          <w:tcPr>
            <w:tcW w:w="6181" w:type="dxa"/>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lang w:val="en-US" w:eastAsia="zh-CN"/>
              </w:rPr>
            </w:pPr>
            <w:r>
              <w:rPr>
                <w:rFonts w:hint="eastAsia" w:ascii="Times New Roman" w:hAnsi="Times New Roman" w:eastAsia="宋体" w:cs="Times New Roman"/>
                <w:color w:val="000000"/>
                <w:spacing w:val="0"/>
                <w:w w:val="100"/>
                <w:sz w:val="24"/>
                <w:szCs w:val="24"/>
                <w:lang w:val="en-US" w:eastAsia="zh-CN"/>
              </w:rPr>
              <w:t>5.2</w:t>
            </w:r>
            <w:r>
              <w:rPr>
                <w:rFonts w:hint="default" w:ascii="Times New Roman" w:hAnsi="Times New Roman" w:eastAsia="宋体" w:cs="Times New Roman"/>
                <w:color w:val="000000"/>
                <w:spacing w:val="0"/>
                <w:w w:val="100"/>
                <w:sz w:val="24"/>
                <w:szCs w:val="24"/>
              </w:rPr>
              <w:t>创新价值（40分）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28" w:type="dxa"/>
            <w:vMerge w:val="continue"/>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p>
        </w:tc>
        <w:tc>
          <w:tcPr>
            <w:tcW w:w="6181" w:type="dxa"/>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rPr>
              <w:t>5.</w:t>
            </w:r>
            <w:r>
              <w:rPr>
                <w:rFonts w:hint="eastAsia" w:ascii="Times New Roman" w:hAnsi="Times New Roman" w:eastAsia="宋体" w:cs="Times New Roman"/>
                <w:color w:val="000000"/>
                <w:spacing w:val="0"/>
                <w:w w:val="100"/>
                <w:sz w:val="24"/>
                <w:szCs w:val="24"/>
                <w:lang w:val="en-US" w:eastAsia="zh-CN"/>
              </w:rPr>
              <w:t>3</w:t>
            </w:r>
            <w:r>
              <w:rPr>
                <w:rFonts w:hint="eastAsia" w:ascii="Times New Roman" w:hAnsi="Times New Roman" w:eastAsia="宋体" w:cs="Times New Roman"/>
                <w:color w:val="000000"/>
                <w:spacing w:val="0"/>
                <w:w w:val="100"/>
                <w:sz w:val="24"/>
                <w:szCs w:val="24"/>
                <w:lang w:eastAsia="zh-CN"/>
              </w:rPr>
              <w:t>效率变革</w:t>
            </w:r>
            <w:r>
              <w:rPr>
                <w:rFonts w:hint="default" w:ascii="Times New Roman" w:hAnsi="Times New Roman" w:eastAsia="宋体" w:cs="Times New Roman"/>
                <w:color w:val="000000"/>
                <w:spacing w:val="0"/>
                <w:w w:val="100"/>
                <w:sz w:val="24"/>
                <w:szCs w:val="24"/>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28" w:type="dxa"/>
            <w:vMerge w:val="continue"/>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p>
        </w:tc>
        <w:tc>
          <w:tcPr>
            <w:tcW w:w="6181" w:type="dxa"/>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rPr>
              <w:t>5.</w:t>
            </w:r>
            <w:r>
              <w:rPr>
                <w:rFonts w:hint="eastAsia" w:ascii="Times New Roman" w:hAnsi="Times New Roman" w:eastAsia="宋体" w:cs="Times New Roman"/>
                <w:color w:val="000000"/>
                <w:spacing w:val="0"/>
                <w:w w:val="100"/>
                <w:sz w:val="24"/>
                <w:szCs w:val="24"/>
                <w:lang w:val="en-US" w:eastAsia="zh-CN"/>
              </w:rPr>
              <w:t>4</w:t>
            </w:r>
            <w:r>
              <w:rPr>
                <w:rFonts w:hint="default" w:ascii="Times New Roman" w:hAnsi="Times New Roman" w:eastAsia="宋体" w:cs="Times New Roman"/>
                <w:color w:val="000000"/>
                <w:spacing w:val="0"/>
                <w:w w:val="100"/>
                <w:sz w:val="24"/>
                <w:szCs w:val="24"/>
              </w:rPr>
              <w:t>经济效益（25分）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928" w:type="dxa"/>
            <w:vMerge w:val="continue"/>
            <w:vAlign w:val="top"/>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p>
        </w:tc>
        <w:tc>
          <w:tcPr>
            <w:tcW w:w="6181" w:type="dxa"/>
            <w:vAlign w:val="center"/>
          </w:tcPr>
          <w:p>
            <w:pPr>
              <w:pStyle w:val="7"/>
              <w:widowControl w:val="0"/>
              <w:wordWrap/>
              <w:adjustRightInd/>
              <w:snapToGrid/>
              <w:spacing w:before="0" w:beforeAutospacing="0" w:after="0" w:afterAutospacing="0" w:line="360" w:lineRule="exact"/>
              <w:jc w:val="center"/>
              <w:textAlignment w:val="auto"/>
              <w:rPr>
                <w:rFonts w:hint="default" w:ascii="Times New Roman" w:hAnsi="Times New Roman" w:eastAsia="宋体" w:cs="Times New Roman"/>
                <w:color w:val="000000"/>
                <w:spacing w:val="0"/>
                <w:w w:val="100"/>
                <w:sz w:val="24"/>
                <w:szCs w:val="24"/>
              </w:rPr>
            </w:pPr>
            <w:r>
              <w:rPr>
                <w:rFonts w:hint="default" w:ascii="Times New Roman" w:hAnsi="Times New Roman" w:eastAsia="宋体" w:cs="Times New Roman"/>
                <w:color w:val="000000"/>
                <w:spacing w:val="0"/>
                <w:w w:val="100"/>
                <w:sz w:val="24"/>
                <w:szCs w:val="24"/>
              </w:rPr>
              <w:t>5.</w:t>
            </w:r>
            <w:r>
              <w:rPr>
                <w:rFonts w:hint="eastAsia" w:ascii="Times New Roman" w:hAnsi="Times New Roman" w:eastAsia="宋体" w:cs="Times New Roman"/>
                <w:color w:val="000000"/>
                <w:spacing w:val="0"/>
                <w:w w:val="100"/>
                <w:sz w:val="24"/>
                <w:szCs w:val="24"/>
                <w:lang w:val="en-US" w:eastAsia="zh-CN"/>
              </w:rPr>
              <w:t>5</w:t>
            </w:r>
            <w:r>
              <w:rPr>
                <w:rFonts w:hint="default" w:ascii="Times New Roman" w:hAnsi="Times New Roman" w:eastAsia="宋体" w:cs="Times New Roman"/>
                <w:color w:val="000000"/>
                <w:spacing w:val="0"/>
                <w:w w:val="100"/>
                <w:sz w:val="24"/>
                <w:szCs w:val="24"/>
              </w:rPr>
              <w:t>社会效益（15分）</w:t>
            </w:r>
          </w:p>
        </w:tc>
      </w:tr>
    </w:tbl>
    <w:p>
      <w:pPr>
        <w:widowControl w:val="0"/>
        <w:pBdr>
          <w:top w:val="none" w:color="auto" w:sz="0" w:space="0"/>
          <w:left w:val="none" w:color="auto" w:sz="0" w:space="0"/>
          <w:bottom w:val="none" w:color="auto" w:sz="0" w:space="0"/>
          <w:right w:val="none" w:color="auto" w:sz="0" w:space="0"/>
        </w:pBdr>
        <w:wordWrap/>
        <w:adjustRightInd/>
        <w:snapToGrid/>
        <w:spacing w:line="600" w:lineRule="exact"/>
        <w:ind w:left="0" w:leftChars="0" w:firstLine="640" w:firstLineChars="200"/>
        <w:textAlignment w:val="auto"/>
        <w:outlineLvl w:val="9"/>
        <w:rPr>
          <w:rFonts w:hint="eastAsia" w:ascii="Times New Roman" w:hAnsi="Times New Roman" w:eastAsia="黑体" w:cs="黑体"/>
          <w:color w:val="000000"/>
          <w:sz w:val="32"/>
          <w:szCs w:val="32"/>
        </w:rPr>
      </w:pPr>
      <w:r>
        <w:rPr>
          <w:rFonts w:hint="eastAsia" w:ascii="Times New Roman" w:hAnsi="Times New Roman" w:eastAsia="黑体" w:cs="黑体"/>
          <w:color w:val="000000"/>
          <w:sz w:val="32"/>
          <w:szCs w:val="32"/>
        </w:rPr>
        <w:t>二、核心指标</w:t>
      </w:r>
    </w:p>
    <w:p>
      <w:pPr>
        <w:widowControl w:val="0"/>
        <w:pBdr>
          <w:top w:val="none" w:color="auto" w:sz="0" w:space="0"/>
          <w:left w:val="none" w:color="auto" w:sz="0" w:space="0"/>
          <w:bottom w:val="none" w:color="auto" w:sz="0" w:space="0"/>
          <w:right w:val="none" w:color="auto" w:sz="0" w:space="0"/>
        </w:pBdr>
        <w:wordWrap/>
        <w:adjustRightInd/>
        <w:snapToGrid/>
        <w:spacing w:line="600" w:lineRule="exact"/>
        <w:ind w:left="0" w:leftChars="0" w:firstLine="640" w:firstLineChars="200"/>
        <w:textAlignment w:val="auto"/>
        <w:outlineLvl w:val="9"/>
        <w:rPr>
          <w:rFonts w:hint="eastAsia" w:ascii="Times New Roman" w:hAnsi="Times New Roman" w:eastAsia="楷体_GB2312" w:cs="楷体_GB2312"/>
          <w:color w:val="000000"/>
          <w:sz w:val="32"/>
          <w:szCs w:val="32"/>
        </w:rPr>
      </w:pPr>
      <w:r>
        <w:rPr>
          <w:rFonts w:hint="eastAsia" w:ascii="Times New Roman" w:hAnsi="Times New Roman" w:eastAsia="楷体_GB2312" w:cs="楷体_GB2312"/>
          <w:color w:val="000000"/>
          <w:sz w:val="32"/>
          <w:szCs w:val="32"/>
          <w:lang w:eastAsia="zh-CN"/>
        </w:rPr>
        <w:t>（一）</w:t>
      </w:r>
      <w:r>
        <w:rPr>
          <w:rFonts w:hint="eastAsia" w:ascii="Times New Roman" w:hAnsi="Times New Roman" w:eastAsia="楷体_GB2312" w:cs="楷体_GB2312"/>
          <w:color w:val="000000"/>
          <w:sz w:val="32"/>
          <w:szCs w:val="32"/>
        </w:rPr>
        <w:t>领导</w:t>
      </w:r>
    </w:p>
    <w:p>
      <w:pPr>
        <w:widowControl w:val="0"/>
        <w:pBdr>
          <w:top w:val="none" w:color="auto" w:sz="0" w:space="0"/>
          <w:left w:val="none" w:color="auto" w:sz="0" w:space="0"/>
          <w:bottom w:val="none" w:color="auto" w:sz="0" w:space="0"/>
          <w:right w:val="none" w:color="auto" w:sz="0" w:space="0"/>
        </w:pBdr>
        <w:wordWrap/>
        <w:adjustRightInd/>
        <w:snapToGrid/>
        <w:spacing w:line="600" w:lineRule="exact"/>
        <w:ind w:left="0" w:leftChars="0" w:firstLine="640" w:firstLineChars="200"/>
        <w:textAlignment w:val="auto"/>
        <w:outlineLvl w:val="9"/>
        <w:rPr>
          <w:rFonts w:hint="default" w:ascii="Times New Roman" w:hAnsi="Times New Roman" w:eastAsia="仿宋_GB2312" w:cs="仿宋_GB2312"/>
          <w:color w:val="000000"/>
          <w:sz w:val="32"/>
          <w:szCs w:val="32"/>
          <w:lang w:val="en-US" w:eastAsia="zh-CN"/>
        </w:rPr>
      </w:pPr>
      <w:r>
        <w:rPr>
          <w:rFonts w:hint="default" w:ascii="Times New Roman" w:hAnsi="Times New Roman" w:eastAsia="仿宋_GB2312" w:cs="仿宋_GB2312"/>
          <w:color w:val="000000"/>
          <w:sz w:val="32"/>
          <w:szCs w:val="32"/>
          <w:lang w:eastAsia="zh-CN"/>
        </w:rPr>
        <w:t>——</w:t>
      </w:r>
      <w:r>
        <w:rPr>
          <w:rFonts w:hint="default" w:ascii="Times New Roman" w:hAnsi="Times New Roman" w:eastAsia="仿宋_GB2312" w:cs="仿宋_GB2312"/>
          <w:color w:val="000000"/>
          <w:sz w:val="32"/>
          <w:szCs w:val="32"/>
          <w:lang w:val="en-US" w:eastAsia="zh-CN"/>
        </w:rPr>
        <w:t>弘扬</w:t>
      </w:r>
      <w:r>
        <w:rPr>
          <w:rFonts w:hint="eastAsia" w:ascii="Times New Roman" w:hAnsi="Times New Roman" w:eastAsia="仿宋_GB2312" w:cs="仿宋_GB2312"/>
          <w:color w:val="000000"/>
          <w:sz w:val="32"/>
          <w:szCs w:val="32"/>
          <w:lang w:val="en-US" w:eastAsia="zh-CN"/>
        </w:rPr>
        <w:t>企业家</w:t>
      </w:r>
      <w:r>
        <w:rPr>
          <w:rFonts w:hint="default" w:ascii="Times New Roman" w:hAnsi="Times New Roman" w:eastAsia="仿宋_GB2312" w:cs="仿宋_GB2312"/>
          <w:color w:val="000000"/>
          <w:sz w:val="32"/>
          <w:szCs w:val="32"/>
          <w:lang w:val="en-US" w:eastAsia="zh-CN"/>
        </w:rPr>
        <w:t>精神，在</w:t>
      </w:r>
      <w:r>
        <w:rPr>
          <w:rFonts w:hint="eastAsia" w:ascii="Times New Roman" w:hAnsi="Times New Roman" w:eastAsia="仿宋_GB2312" w:cs="仿宋_GB2312"/>
          <w:color w:val="000000"/>
          <w:sz w:val="32"/>
          <w:szCs w:val="32"/>
          <w:lang w:val="en-US" w:eastAsia="zh-CN"/>
        </w:rPr>
        <w:t>增强</w:t>
      </w:r>
      <w:r>
        <w:rPr>
          <w:rFonts w:hint="default" w:ascii="Times New Roman" w:hAnsi="Times New Roman" w:eastAsia="仿宋_GB2312" w:cs="仿宋_GB2312"/>
          <w:color w:val="000000"/>
          <w:sz w:val="32"/>
          <w:szCs w:val="32"/>
          <w:lang w:val="en-US" w:eastAsia="zh-CN"/>
        </w:rPr>
        <w:t>爱国</w:t>
      </w:r>
      <w:r>
        <w:rPr>
          <w:rFonts w:hint="eastAsia" w:ascii="Times New Roman" w:hAnsi="Times New Roman" w:eastAsia="仿宋_GB2312" w:cs="仿宋_GB2312"/>
          <w:color w:val="000000"/>
          <w:sz w:val="32"/>
          <w:szCs w:val="32"/>
          <w:lang w:val="en-US" w:eastAsia="zh-CN"/>
        </w:rPr>
        <w:t>情怀</w:t>
      </w:r>
      <w:r>
        <w:rPr>
          <w:rFonts w:hint="default" w:ascii="Times New Roman" w:hAnsi="Times New Roman" w:eastAsia="仿宋_GB2312" w:cs="仿宋_GB2312"/>
          <w:color w:val="000000"/>
          <w:sz w:val="32"/>
          <w:szCs w:val="32"/>
          <w:lang w:val="en-US" w:eastAsia="zh-CN"/>
        </w:rPr>
        <w:t>、</w:t>
      </w:r>
      <w:r>
        <w:rPr>
          <w:rFonts w:hint="eastAsia" w:ascii="Times New Roman" w:hAnsi="Times New Roman" w:eastAsia="仿宋_GB2312" w:cs="仿宋_GB2312"/>
          <w:color w:val="000000"/>
          <w:sz w:val="32"/>
          <w:szCs w:val="32"/>
          <w:lang w:val="en-US" w:eastAsia="zh-CN"/>
        </w:rPr>
        <w:t>勇于</w:t>
      </w:r>
      <w:r>
        <w:rPr>
          <w:rFonts w:hint="default" w:ascii="Times New Roman" w:hAnsi="Times New Roman" w:eastAsia="仿宋_GB2312" w:cs="仿宋_GB2312"/>
          <w:color w:val="000000"/>
          <w:sz w:val="32"/>
          <w:szCs w:val="32"/>
          <w:lang w:val="en-US" w:eastAsia="zh-CN"/>
        </w:rPr>
        <w:t>创新、诚信</w:t>
      </w:r>
      <w:r>
        <w:rPr>
          <w:rFonts w:hint="eastAsia" w:ascii="Times New Roman" w:hAnsi="Times New Roman" w:eastAsia="仿宋_GB2312" w:cs="仿宋_GB2312"/>
          <w:color w:val="000000"/>
          <w:sz w:val="32"/>
          <w:szCs w:val="32"/>
          <w:lang w:val="en-US" w:eastAsia="zh-CN"/>
        </w:rPr>
        <w:t>守法</w:t>
      </w:r>
      <w:r>
        <w:rPr>
          <w:rFonts w:hint="default" w:ascii="Times New Roman" w:hAnsi="Times New Roman" w:eastAsia="仿宋_GB2312" w:cs="仿宋_GB2312"/>
          <w:color w:val="000000"/>
          <w:sz w:val="32"/>
          <w:szCs w:val="32"/>
          <w:lang w:val="en-US" w:eastAsia="zh-CN"/>
        </w:rPr>
        <w:t>、</w:t>
      </w:r>
      <w:r>
        <w:rPr>
          <w:rFonts w:hint="eastAsia" w:ascii="Times New Roman" w:hAnsi="Times New Roman" w:eastAsia="仿宋_GB2312" w:cs="仿宋_GB2312"/>
          <w:color w:val="000000"/>
          <w:sz w:val="32"/>
          <w:szCs w:val="32"/>
          <w:lang w:val="en-US" w:eastAsia="zh-CN"/>
        </w:rPr>
        <w:t>承担</w:t>
      </w:r>
      <w:r>
        <w:rPr>
          <w:rFonts w:hint="default" w:ascii="Times New Roman" w:hAnsi="Times New Roman" w:eastAsia="仿宋_GB2312" w:cs="仿宋_GB2312"/>
          <w:color w:val="000000"/>
          <w:sz w:val="32"/>
          <w:szCs w:val="32"/>
          <w:lang w:val="en-US" w:eastAsia="zh-CN"/>
        </w:rPr>
        <w:t>社会责任和</w:t>
      </w:r>
      <w:r>
        <w:rPr>
          <w:rFonts w:hint="eastAsia" w:ascii="Times New Roman" w:hAnsi="Times New Roman" w:eastAsia="仿宋_GB2312" w:cs="仿宋_GB2312"/>
          <w:color w:val="000000"/>
          <w:sz w:val="32"/>
          <w:szCs w:val="32"/>
          <w:lang w:val="en-US" w:eastAsia="zh-CN"/>
        </w:rPr>
        <w:t>拓展</w:t>
      </w:r>
      <w:r>
        <w:rPr>
          <w:rFonts w:hint="default" w:ascii="Times New Roman" w:hAnsi="Times New Roman" w:eastAsia="仿宋_GB2312" w:cs="仿宋_GB2312"/>
          <w:color w:val="000000"/>
          <w:sz w:val="32"/>
          <w:szCs w:val="32"/>
          <w:lang w:val="en-US" w:eastAsia="zh-CN"/>
        </w:rPr>
        <w:t>国际视野等方面不断提升，成为新时代推动高质量发展的生力军。</w:t>
      </w:r>
    </w:p>
    <w:p>
      <w:pPr>
        <w:widowControl w:val="0"/>
        <w:pBdr>
          <w:top w:val="none" w:color="auto" w:sz="0" w:space="0"/>
          <w:left w:val="none" w:color="auto" w:sz="0" w:space="0"/>
          <w:bottom w:val="none" w:color="auto" w:sz="0" w:space="0"/>
          <w:right w:val="none" w:color="auto" w:sz="0" w:space="0"/>
        </w:pBdr>
        <w:wordWrap/>
        <w:adjustRightInd/>
        <w:snapToGrid/>
        <w:spacing w:line="600" w:lineRule="exact"/>
        <w:ind w:left="0" w:leftChars="0" w:firstLine="640" w:firstLineChars="200"/>
        <w:textAlignment w:val="auto"/>
        <w:outlineLvl w:val="9"/>
        <w:rPr>
          <w:rFonts w:hint="default" w:ascii="Times New Roman" w:hAnsi="Times New Roman" w:eastAsia="仿宋_GB2312" w:cs="仿宋_GB2312"/>
          <w:color w:val="000000"/>
          <w:sz w:val="32"/>
          <w:szCs w:val="32"/>
          <w:lang w:eastAsia="zh-CN"/>
        </w:rPr>
      </w:pPr>
      <w:r>
        <w:rPr>
          <w:rFonts w:hint="default" w:ascii="Times New Roman" w:hAnsi="Times New Roman" w:eastAsia="仿宋_GB2312" w:cs="仿宋_GB2312"/>
          <w:color w:val="000000"/>
          <w:sz w:val="32"/>
          <w:szCs w:val="32"/>
          <w:lang w:val="en-US" w:eastAsia="zh-CN"/>
        </w:rPr>
        <w:t>——</w:t>
      </w:r>
      <w:r>
        <w:rPr>
          <w:rFonts w:hint="default" w:ascii="Times New Roman" w:hAnsi="Times New Roman" w:eastAsia="仿宋_GB2312" w:cs="仿宋_GB2312"/>
          <w:color w:val="000000"/>
          <w:sz w:val="32"/>
          <w:szCs w:val="32"/>
        </w:rPr>
        <w:t>建立组织统一的宗旨和方向，加强组织文化建设，</w:t>
      </w:r>
      <w:r>
        <w:rPr>
          <w:rFonts w:hint="eastAsia" w:ascii="Times New Roman" w:hAnsi="Times New Roman" w:eastAsia="仿宋_GB2312" w:cs="仿宋_GB2312"/>
          <w:color w:val="000000"/>
          <w:sz w:val="32"/>
          <w:szCs w:val="32"/>
          <w:lang w:val="en-US" w:eastAsia="zh-CN"/>
        </w:rPr>
        <w:t>构建和谐劳资关系，</w:t>
      </w:r>
      <w:r>
        <w:rPr>
          <w:rFonts w:hint="default" w:ascii="Times New Roman" w:hAnsi="Times New Roman" w:eastAsia="仿宋_GB2312" w:cs="仿宋_GB2312"/>
          <w:color w:val="000000"/>
          <w:sz w:val="32"/>
          <w:szCs w:val="32"/>
        </w:rPr>
        <w:t>营造引导全体员工积极参与</w:t>
      </w:r>
      <w:r>
        <w:rPr>
          <w:rFonts w:hint="eastAsia" w:ascii="Times New Roman" w:hAnsi="Times New Roman" w:eastAsia="仿宋_GB2312" w:cs="仿宋_GB2312"/>
          <w:color w:val="000000"/>
          <w:sz w:val="32"/>
          <w:szCs w:val="32"/>
          <w:lang w:val="en-US" w:eastAsia="zh-CN"/>
        </w:rPr>
        <w:t>质量活动</w:t>
      </w:r>
      <w:r>
        <w:rPr>
          <w:rFonts w:hint="default" w:ascii="Times New Roman" w:hAnsi="Times New Roman" w:eastAsia="仿宋_GB2312" w:cs="仿宋_GB2312"/>
          <w:color w:val="000000"/>
          <w:sz w:val="32"/>
          <w:szCs w:val="32"/>
        </w:rPr>
        <w:t>的环境</w:t>
      </w:r>
      <w:r>
        <w:rPr>
          <w:rFonts w:hint="default" w:ascii="Times New Roman" w:hAnsi="Times New Roman" w:eastAsia="仿宋_GB2312" w:cs="仿宋_GB2312"/>
          <w:color w:val="000000"/>
          <w:sz w:val="32"/>
          <w:szCs w:val="32"/>
          <w:lang w:eastAsia="zh-CN"/>
        </w:rPr>
        <w:t>；</w:t>
      </w:r>
    </w:p>
    <w:p>
      <w:pPr>
        <w:widowControl w:val="0"/>
        <w:pBdr>
          <w:top w:val="none" w:color="auto" w:sz="0" w:space="0"/>
          <w:left w:val="none" w:color="auto" w:sz="0" w:space="0"/>
          <w:bottom w:val="none" w:color="auto" w:sz="0" w:space="0"/>
          <w:right w:val="none" w:color="auto" w:sz="0" w:space="0"/>
        </w:pBdr>
        <w:wordWrap/>
        <w:adjustRightInd/>
        <w:snapToGrid/>
        <w:spacing w:line="600" w:lineRule="exact"/>
        <w:ind w:left="0" w:leftChars="0" w:firstLine="640" w:firstLineChars="200"/>
        <w:textAlignment w:val="auto"/>
        <w:outlineLvl w:val="9"/>
        <w:rPr>
          <w:rFonts w:hint="default" w:ascii="Times New Roman" w:hAnsi="Times New Roman" w:eastAsia="仿宋_GB2312" w:cs="仿宋_GB2312"/>
          <w:color w:val="000000"/>
          <w:sz w:val="32"/>
          <w:szCs w:val="32"/>
          <w:lang w:eastAsia="zh-CN"/>
        </w:rPr>
      </w:pPr>
      <w:r>
        <w:rPr>
          <w:rFonts w:hint="default" w:ascii="Times New Roman" w:hAnsi="Times New Roman" w:eastAsia="仿宋_GB2312" w:cs="仿宋_GB2312"/>
          <w:color w:val="000000"/>
          <w:sz w:val="32"/>
          <w:szCs w:val="32"/>
          <w:lang w:eastAsia="zh-CN"/>
        </w:rPr>
        <w:t>——</w:t>
      </w:r>
      <w:r>
        <w:rPr>
          <w:rFonts w:hint="default" w:ascii="Times New Roman" w:hAnsi="Times New Roman" w:eastAsia="仿宋_GB2312" w:cs="仿宋_GB2312"/>
          <w:color w:val="000000"/>
          <w:sz w:val="32"/>
          <w:szCs w:val="32"/>
        </w:rPr>
        <w:t>强化战略管理，使组织的战略、方针、过程和资源协调一致，以实现其目标</w:t>
      </w:r>
      <w:r>
        <w:rPr>
          <w:rFonts w:hint="default" w:ascii="Times New Roman" w:hAnsi="Times New Roman" w:eastAsia="仿宋_GB2312" w:cs="仿宋_GB2312"/>
          <w:color w:val="000000"/>
          <w:sz w:val="32"/>
          <w:szCs w:val="32"/>
          <w:lang w:eastAsia="zh-CN"/>
        </w:rPr>
        <w:t>；</w:t>
      </w:r>
    </w:p>
    <w:p>
      <w:pPr>
        <w:widowControl w:val="0"/>
        <w:pBdr>
          <w:top w:val="none" w:color="auto" w:sz="0" w:space="0"/>
          <w:left w:val="none" w:color="auto" w:sz="0" w:space="0"/>
          <w:bottom w:val="none" w:color="auto" w:sz="0" w:space="0"/>
          <w:right w:val="none" w:color="auto" w:sz="0" w:space="0"/>
        </w:pBdr>
        <w:wordWrap/>
        <w:adjustRightInd/>
        <w:snapToGrid/>
        <w:spacing w:line="600" w:lineRule="exact"/>
        <w:ind w:left="0" w:leftChars="0" w:firstLine="640" w:firstLineChars="200"/>
        <w:textAlignment w:val="auto"/>
        <w:outlineLvl w:val="9"/>
        <w:rPr>
          <w:rFonts w:hint="default" w:ascii="Times New Roman" w:hAnsi="Times New Roman" w:eastAsia="仿宋_GB2312" w:cs="仿宋_GB2312"/>
          <w:color w:val="000000"/>
          <w:sz w:val="32"/>
          <w:szCs w:val="32"/>
          <w:lang w:eastAsia="zh-CN"/>
        </w:rPr>
      </w:pPr>
      <w:r>
        <w:rPr>
          <w:rFonts w:hint="default" w:ascii="Times New Roman" w:hAnsi="Times New Roman" w:eastAsia="仿宋_GB2312" w:cs="仿宋_GB2312"/>
          <w:color w:val="000000"/>
          <w:sz w:val="32"/>
          <w:szCs w:val="32"/>
          <w:lang w:eastAsia="zh-CN"/>
        </w:rPr>
        <w:t>——</w:t>
      </w:r>
      <w:r>
        <w:rPr>
          <w:rFonts w:hint="default" w:ascii="Times New Roman" w:hAnsi="Times New Roman" w:eastAsia="仿宋_GB2312" w:cs="仿宋_GB2312"/>
          <w:color w:val="000000"/>
          <w:sz w:val="32"/>
          <w:szCs w:val="32"/>
          <w:lang w:val="en-US" w:eastAsia="zh-CN"/>
        </w:rPr>
        <w:t>树立创新是第一动力</w:t>
      </w:r>
      <w:r>
        <w:rPr>
          <w:rFonts w:hint="eastAsia" w:ascii="Times New Roman" w:hAnsi="Times New Roman" w:eastAsia="仿宋_GB2312" w:cs="仿宋_GB2312"/>
          <w:color w:val="000000"/>
          <w:sz w:val="32"/>
          <w:szCs w:val="32"/>
          <w:lang w:val="en-US" w:eastAsia="zh-CN"/>
        </w:rPr>
        <w:t>、人才是第一资源</w:t>
      </w:r>
      <w:r>
        <w:rPr>
          <w:rFonts w:hint="default" w:ascii="Times New Roman" w:hAnsi="Times New Roman" w:eastAsia="仿宋_GB2312" w:cs="仿宋_GB2312"/>
          <w:color w:val="000000"/>
          <w:sz w:val="32"/>
          <w:szCs w:val="32"/>
          <w:lang w:val="en-US" w:eastAsia="zh-CN"/>
        </w:rPr>
        <w:t>的理念，</w:t>
      </w:r>
      <w:r>
        <w:rPr>
          <w:rFonts w:hint="default" w:ascii="Times New Roman" w:hAnsi="Times New Roman" w:eastAsia="仿宋_GB2312" w:cs="仿宋_GB2312"/>
          <w:color w:val="000000"/>
          <w:sz w:val="32"/>
          <w:szCs w:val="32"/>
        </w:rPr>
        <w:t>有效进行组织治理</w:t>
      </w:r>
      <w:r>
        <w:rPr>
          <w:rFonts w:hint="default" w:ascii="Times New Roman" w:hAnsi="Times New Roman" w:eastAsia="仿宋_GB2312" w:cs="仿宋_GB2312"/>
          <w:color w:val="000000"/>
          <w:sz w:val="32"/>
          <w:szCs w:val="32"/>
          <w:lang w:eastAsia="zh-CN"/>
        </w:rPr>
        <w:t>；</w:t>
      </w:r>
    </w:p>
    <w:p>
      <w:pPr>
        <w:widowControl w:val="0"/>
        <w:pBdr>
          <w:top w:val="none" w:color="auto" w:sz="0" w:space="0"/>
          <w:left w:val="none" w:color="auto" w:sz="0" w:space="0"/>
          <w:bottom w:val="none" w:color="auto" w:sz="0" w:space="0"/>
          <w:right w:val="none" w:color="auto" w:sz="0" w:space="0"/>
        </w:pBdr>
        <w:wordWrap/>
        <w:adjustRightInd/>
        <w:snapToGrid/>
        <w:spacing w:line="600" w:lineRule="exact"/>
        <w:ind w:left="0" w:leftChars="0" w:firstLine="640" w:firstLineChars="200"/>
        <w:textAlignment w:val="auto"/>
        <w:outlineLvl w:val="9"/>
        <w:rPr>
          <w:rFonts w:hint="default" w:ascii="Times New Roman" w:hAnsi="Times New Roman" w:eastAsia="仿宋_GB2312" w:cs="仿宋_GB2312"/>
          <w:color w:val="000000"/>
          <w:sz w:val="32"/>
          <w:szCs w:val="32"/>
        </w:rPr>
      </w:pPr>
      <w:r>
        <w:rPr>
          <w:rFonts w:hint="default" w:ascii="Times New Roman" w:hAnsi="Times New Roman" w:eastAsia="仿宋_GB2312" w:cs="仿宋_GB2312"/>
          <w:color w:val="000000"/>
          <w:sz w:val="32"/>
          <w:szCs w:val="32"/>
          <w:lang w:eastAsia="zh-CN"/>
        </w:rPr>
        <w:t>——</w:t>
      </w:r>
      <w:r>
        <w:rPr>
          <w:rFonts w:hint="default" w:ascii="Times New Roman" w:hAnsi="Times New Roman" w:eastAsia="仿宋_GB2312" w:cs="仿宋_GB2312"/>
          <w:color w:val="000000"/>
          <w:sz w:val="32"/>
          <w:szCs w:val="32"/>
        </w:rPr>
        <w:t>履行社会责任</w:t>
      </w:r>
      <w:r>
        <w:rPr>
          <w:rFonts w:hint="default" w:ascii="Times New Roman" w:hAnsi="Times New Roman" w:eastAsia="仿宋_GB2312" w:cs="仿宋_GB2312"/>
          <w:color w:val="000000"/>
          <w:sz w:val="32"/>
          <w:szCs w:val="32"/>
          <w:lang w:eastAsia="zh-CN"/>
        </w:rPr>
        <w:t>，</w:t>
      </w:r>
      <w:r>
        <w:rPr>
          <w:rFonts w:hint="default" w:ascii="Times New Roman" w:hAnsi="Times New Roman" w:eastAsia="仿宋_GB2312" w:cs="仿宋_GB2312"/>
          <w:color w:val="000000"/>
          <w:sz w:val="32"/>
          <w:szCs w:val="32"/>
          <w:lang w:val="en-US" w:eastAsia="zh-CN"/>
        </w:rPr>
        <w:t>追求卓越效益</w:t>
      </w:r>
      <w:r>
        <w:rPr>
          <w:rFonts w:hint="default" w:ascii="Times New Roman" w:hAnsi="Times New Roman" w:eastAsia="仿宋_GB2312" w:cs="仿宋_GB2312"/>
          <w:color w:val="000000"/>
          <w:sz w:val="32"/>
          <w:szCs w:val="32"/>
        </w:rPr>
        <w:t>。</w:t>
      </w:r>
    </w:p>
    <w:p>
      <w:pPr>
        <w:widowControl w:val="0"/>
        <w:pBdr>
          <w:top w:val="none" w:color="auto" w:sz="0" w:space="0"/>
          <w:left w:val="none" w:color="auto" w:sz="0" w:space="0"/>
          <w:bottom w:val="none" w:color="auto" w:sz="0" w:space="0"/>
          <w:right w:val="none" w:color="auto" w:sz="0" w:space="0"/>
        </w:pBdr>
        <w:wordWrap/>
        <w:adjustRightInd/>
        <w:snapToGrid/>
        <w:spacing w:line="600" w:lineRule="exact"/>
        <w:ind w:left="0" w:leftChars="0" w:firstLine="640" w:firstLineChars="200"/>
        <w:textAlignment w:val="auto"/>
        <w:outlineLvl w:val="9"/>
        <w:rPr>
          <w:rFonts w:hint="eastAsia" w:ascii="Times New Roman" w:hAnsi="Times New Roman" w:eastAsia="楷体_GB2312" w:cs="楷体_GB2312"/>
          <w:color w:val="000000"/>
          <w:sz w:val="32"/>
          <w:szCs w:val="32"/>
          <w:lang w:eastAsia="zh-CN"/>
        </w:rPr>
      </w:pPr>
      <w:r>
        <w:rPr>
          <w:rFonts w:hint="eastAsia" w:ascii="Times New Roman" w:hAnsi="Times New Roman" w:eastAsia="楷体_GB2312" w:cs="楷体_GB2312"/>
          <w:color w:val="000000"/>
          <w:sz w:val="32"/>
          <w:szCs w:val="32"/>
          <w:lang w:eastAsia="zh-CN"/>
        </w:rPr>
        <w:t>（二）质量</w:t>
      </w:r>
    </w:p>
    <w:p>
      <w:pPr>
        <w:widowControl w:val="0"/>
        <w:pBdr>
          <w:top w:val="none" w:color="auto" w:sz="0" w:space="0"/>
          <w:left w:val="none" w:color="auto" w:sz="0" w:space="0"/>
          <w:bottom w:val="none" w:color="auto" w:sz="0" w:space="0"/>
          <w:right w:val="none" w:color="auto" w:sz="0" w:space="0"/>
        </w:pBdr>
        <w:wordWrap/>
        <w:adjustRightInd/>
        <w:snapToGrid/>
        <w:spacing w:line="600" w:lineRule="exact"/>
        <w:ind w:left="0" w:leftChars="0" w:firstLine="640" w:firstLineChars="200"/>
        <w:textAlignment w:val="auto"/>
        <w:outlineLvl w:val="9"/>
        <w:rPr>
          <w:rFonts w:hint="default" w:ascii="Times New Roman" w:hAnsi="Times New Roman" w:eastAsia="仿宋_GB2312" w:cs="仿宋_GB2312"/>
          <w:color w:val="000000"/>
          <w:sz w:val="32"/>
          <w:szCs w:val="32"/>
          <w:lang w:eastAsia="zh-CN"/>
        </w:rPr>
      </w:pPr>
      <w:r>
        <w:rPr>
          <w:rFonts w:hint="default" w:ascii="Times New Roman" w:hAnsi="Times New Roman" w:eastAsia="仿宋_GB2312" w:cs="仿宋_GB2312"/>
          <w:color w:val="000000"/>
          <w:sz w:val="32"/>
          <w:szCs w:val="32"/>
          <w:lang w:eastAsia="zh-CN"/>
        </w:rPr>
        <w:t>——</w:t>
      </w:r>
      <w:r>
        <w:rPr>
          <w:rFonts w:hint="default" w:ascii="Times New Roman" w:hAnsi="Times New Roman" w:eastAsia="仿宋_GB2312" w:cs="仿宋_GB2312"/>
          <w:color w:val="000000"/>
          <w:sz w:val="32"/>
          <w:szCs w:val="32"/>
        </w:rPr>
        <w:t>整合管理体系提升运营效能</w:t>
      </w:r>
      <w:r>
        <w:rPr>
          <w:rFonts w:hint="default" w:ascii="Times New Roman" w:hAnsi="Times New Roman" w:eastAsia="仿宋_GB2312" w:cs="仿宋_GB2312"/>
          <w:color w:val="000000"/>
          <w:sz w:val="32"/>
          <w:szCs w:val="32"/>
          <w:lang w:eastAsia="zh-CN"/>
        </w:rPr>
        <w:t>；</w:t>
      </w:r>
    </w:p>
    <w:p>
      <w:pPr>
        <w:widowControl w:val="0"/>
        <w:pBdr>
          <w:top w:val="none" w:color="auto" w:sz="0" w:space="0"/>
          <w:left w:val="none" w:color="auto" w:sz="0" w:space="0"/>
          <w:bottom w:val="none" w:color="auto" w:sz="0" w:space="0"/>
          <w:right w:val="none" w:color="auto" w:sz="0" w:space="0"/>
        </w:pBdr>
        <w:wordWrap/>
        <w:adjustRightInd/>
        <w:snapToGrid/>
        <w:spacing w:line="600" w:lineRule="exact"/>
        <w:ind w:left="0" w:leftChars="0" w:firstLine="640" w:firstLineChars="200"/>
        <w:textAlignment w:val="auto"/>
        <w:outlineLvl w:val="9"/>
        <w:rPr>
          <w:rFonts w:hint="default" w:ascii="Times New Roman" w:hAnsi="Times New Roman" w:eastAsia="仿宋_GB2312" w:cs="仿宋_GB2312"/>
          <w:color w:val="000000"/>
          <w:sz w:val="32"/>
          <w:szCs w:val="32"/>
        </w:rPr>
      </w:pPr>
      <w:r>
        <w:rPr>
          <w:rFonts w:hint="default" w:ascii="Times New Roman" w:hAnsi="Times New Roman" w:eastAsia="仿宋_GB2312" w:cs="仿宋_GB2312"/>
          <w:color w:val="000000"/>
          <w:sz w:val="32"/>
          <w:szCs w:val="32"/>
          <w:lang w:eastAsia="zh-CN"/>
        </w:rPr>
        <w:t>——</w:t>
      </w:r>
      <w:r>
        <w:rPr>
          <w:rFonts w:hint="default" w:ascii="Times New Roman" w:hAnsi="Times New Roman" w:eastAsia="仿宋_GB2312" w:cs="仿宋_GB2312"/>
          <w:color w:val="000000"/>
          <w:sz w:val="32"/>
          <w:szCs w:val="32"/>
        </w:rPr>
        <w:t>识别并满足顾客及其他利益相关方的需求和期望</w:t>
      </w:r>
      <w:r>
        <w:rPr>
          <w:rFonts w:hint="eastAsia" w:ascii="Times New Roman" w:hAnsi="Times New Roman" w:eastAsia="仿宋_GB2312" w:cs="仿宋_GB2312"/>
          <w:color w:val="000000"/>
          <w:sz w:val="32"/>
          <w:szCs w:val="32"/>
          <w:lang w:eastAsia="zh-CN"/>
        </w:rPr>
        <w:t>，</w:t>
      </w:r>
      <w:r>
        <w:rPr>
          <w:rFonts w:hint="default" w:ascii="Times New Roman" w:hAnsi="Times New Roman" w:eastAsia="仿宋_GB2312" w:cs="仿宋_GB2312"/>
          <w:color w:val="000000"/>
          <w:sz w:val="32"/>
          <w:szCs w:val="32"/>
        </w:rPr>
        <w:t>减少抱怨和投诉</w:t>
      </w:r>
      <w:r>
        <w:rPr>
          <w:rFonts w:hint="default" w:ascii="Times New Roman" w:hAnsi="Times New Roman" w:eastAsia="仿宋_GB2312" w:cs="仿宋_GB2312"/>
          <w:color w:val="000000"/>
          <w:sz w:val="32"/>
          <w:szCs w:val="32"/>
          <w:lang w:eastAsia="zh-CN"/>
        </w:rPr>
        <w:t>；</w:t>
      </w:r>
    </w:p>
    <w:p>
      <w:pPr>
        <w:widowControl w:val="0"/>
        <w:pBdr>
          <w:top w:val="none" w:color="auto" w:sz="0" w:space="0"/>
          <w:left w:val="none" w:color="auto" w:sz="0" w:space="0"/>
          <w:bottom w:val="none" w:color="auto" w:sz="0" w:space="0"/>
          <w:right w:val="none" w:color="auto" w:sz="0" w:space="0"/>
        </w:pBdr>
        <w:wordWrap/>
        <w:adjustRightInd/>
        <w:snapToGrid/>
        <w:spacing w:line="600" w:lineRule="exact"/>
        <w:ind w:left="0" w:leftChars="0" w:firstLine="640" w:firstLineChars="200"/>
        <w:textAlignment w:val="auto"/>
        <w:outlineLvl w:val="9"/>
        <w:rPr>
          <w:rFonts w:hint="default" w:ascii="Times New Roman" w:hAnsi="Times New Roman" w:eastAsia="仿宋_GB2312" w:cs="仿宋_GB2312"/>
          <w:color w:val="000000"/>
          <w:sz w:val="32"/>
          <w:szCs w:val="32"/>
        </w:rPr>
      </w:pPr>
      <w:r>
        <w:rPr>
          <w:rFonts w:hint="default" w:ascii="Times New Roman" w:hAnsi="Times New Roman" w:eastAsia="仿宋_GB2312" w:cs="仿宋_GB2312"/>
          <w:color w:val="000000"/>
          <w:sz w:val="32"/>
          <w:szCs w:val="32"/>
          <w:lang w:eastAsia="zh-CN"/>
        </w:rPr>
        <w:t>——</w:t>
      </w:r>
      <w:r>
        <w:rPr>
          <w:rFonts w:hint="default" w:ascii="Times New Roman" w:hAnsi="Times New Roman" w:eastAsia="仿宋_GB2312" w:cs="仿宋_GB2312"/>
          <w:color w:val="000000"/>
          <w:sz w:val="32"/>
          <w:szCs w:val="32"/>
        </w:rPr>
        <w:t>增强产业链自主可控能力实现质量协同</w:t>
      </w:r>
      <w:r>
        <w:rPr>
          <w:rFonts w:hint="default" w:ascii="Times New Roman" w:hAnsi="Times New Roman" w:eastAsia="仿宋_GB2312" w:cs="仿宋_GB2312"/>
          <w:color w:val="000000"/>
          <w:sz w:val="32"/>
          <w:szCs w:val="32"/>
          <w:lang w:eastAsia="zh-CN"/>
        </w:rPr>
        <w:t>；</w:t>
      </w:r>
    </w:p>
    <w:p>
      <w:pPr>
        <w:widowControl w:val="0"/>
        <w:pBdr>
          <w:top w:val="none" w:color="auto" w:sz="0" w:space="0"/>
          <w:left w:val="none" w:color="auto" w:sz="0" w:space="0"/>
          <w:bottom w:val="none" w:color="auto" w:sz="0" w:space="0"/>
          <w:right w:val="none" w:color="auto" w:sz="0" w:space="0"/>
        </w:pBdr>
        <w:wordWrap/>
        <w:adjustRightInd/>
        <w:snapToGrid/>
        <w:spacing w:line="600" w:lineRule="exact"/>
        <w:ind w:left="0" w:leftChars="0" w:firstLine="640" w:firstLineChars="200"/>
        <w:textAlignment w:val="auto"/>
        <w:outlineLvl w:val="9"/>
        <w:rPr>
          <w:rFonts w:hint="default" w:ascii="Times New Roman" w:hAnsi="Times New Roman" w:eastAsia="仿宋_GB2312" w:cs="仿宋_GB2312"/>
          <w:color w:val="000000"/>
          <w:sz w:val="32"/>
          <w:szCs w:val="32"/>
          <w:lang w:eastAsia="zh-CN"/>
        </w:rPr>
      </w:pPr>
      <w:r>
        <w:rPr>
          <w:rFonts w:hint="default" w:ascii="Times New Roman" w:hAnsi="Times New Roman" w:eastAsia="仿宋_GB2312" w:cs="仿宋_GB2312"/>
          <w:color w:val="000000"/>
          <w:sz w:val="32"/>
          <w:szCs w:val="32"/>
          <w:lang w:eastAsia="zh-CN"/>
        </w:rPr>
        <w:t>——</w:t>
      </w:r>
      <w:r>
        <w:rPr>
          <w:rFonts w:hint="default" w:ascii="Times New Roman" w:hAnsi="Times New Roman" w:eastAsia="仿宋_GB2312" w:cs="仿宋_GB2312"/>
          <w:color w:val="000000"/>
          <w:sz w:val="32"/>
          <w:szCs w:val="32"/>
        </w:rPr>
        <w:t>加强质量基础设施建设提升质量</w:t>
      </w:r>
      <w:r>
        <w:rPr>
          <w:rFonts w:hint="eastAsia" w:ascii="Times New Roman" w:hAnsi="Times New Roman" w:eastAsia="仿宋_GB2312" w:cs="仿宋_GB2312"/>
          <w:color w:val="000000"/>
          <w:sz w:val="32"/>
          <w:szCs w:val="32"/>
          <w:lang w:eastAsia="zh-CN"/>
        </w:rPr>
        <w:t>管理</w:t>
      </w:r>
      <w:r>
        <w:rPr>
          <w:rFonts w:hint="default" w:ascii="Times New Roman" w:hAnsi="Times New Roman" w:eastAsia="仿宋_GB2312" w:cs="仿宋_GB2312"/>
          <w:color w:val="000000"/>
          <w:sz w:val="32"/>
          <w:szCs w:val="32"/>
        </w:rPr>
        <w:t>水平</w:t>
      </w:r>
      <w:r>
        <w:rPr>
          <w:rFonts w:hint="default" w:ascii="Times New Roman" w:hAnsi="Times New Roman" w:eastAsia="仿宋_GB2312" w:cs="仿宋_GB2312"/>
          <w:color w:val="000000"/>
          <w:sz w:val="32"/>
          <w:szCs w:val="32"/>
          <w:lang w:eastAsia="zh-CN"/>
        </w:rPr>
        <w:t>；</w:t>
      </w:r>
    </w:p>
    <w:p>
      <w:pPr>
        <w:widowControl w:val="0"/>
        <w:pBdr>
          <w:top w:val="none" w:color="auto" w:sz="0" w:space="0"/>
          <w:left w:val="none" w:color="auto" w:sz="0" w:space="0"/>
          <w:bottom w:val="none" w:color="auto" w:sz="0" w:space="0"/>
          <w:right w:val="none" w:color="auto" w:sz="0" w:space="0"/>
        </w:pBdr>
        <w:wordWrap/>
        <w:adjustRightInd/>
        <w:snapToGrid/>
        <w:spacing w:line="600" w:lineRule="exact"/>
        <w:ind w:left="0" w:leftChars="0" w:firstLine="640" w:firstLineChars="200"/>
        <w:textAlignment w:val="auto"/>
        <w:outlineLvl w:val="9"/>
        <w:rPr>
          <w:rFonts w:hint="default" w:ascii="Times New Roman" w:hAnsi="Times New Roman" w:eastAsia="仿宋_GB2312" w:cs="仿宋_GB2312"/>
          <w:color w:val="000000"/>
          <w:sz w:val="32"/>
          <w:szCs w:val="32"/>
          <w:lang w:eastAsia="zh-CN"/>
        </w:rPr>
      </w:pPr>
      <w:r>
        <w:rPr>
          <w:rFonts w:hint="default" w:ascii="Times New Roman" w:hAnsi="Times New Roman" w:eastAsia="仿宋_GB2312" w:cs="仿宋_GB2312"/>
          <w:color w:val="000000"/>
          <w:sz w:val="32"/>
          <w:szCs w:val="32"/>
          <w:lang w:eastAsia="zh-CN"/>
        </w:rPr>
        <w:t>——</w:t>
      </w:r>
      <w:r>
        <w:rPr>
          <w:rFonts w:hint="default" w:ascii="Times New Roman" w:hAnsi="Times New Roman" w:eastAsia="仿宋_GB2312" w:cs="仿宋_GB2312"/>
          <w:color w:val="000000"/>
          <w:sz w:val="32"/>
          <w:szCs w:val="32"/>
        </w:rPr>
        <w:t>强化教育培训提升员工质量素养</w:t>
      </w:r>
      <w:r>
        <w:rPr>
          <w:rFonts w:hint="default" w:ascii="Times New Roman" w:hAnsi="Times New Roman" w:eastAsia="仿宋_GB2312" w:cs="仿宋_GB2312"/>
          <w:color w:val="000000"/>
          <w:sz w:val="32"/>
          <w:szCs w:val="32"/>
          <w:lang w:eastAsia="zh-CN"/>
        </w:rPr>
        <w:t>；</w:t>
      </w:r>
    </w:p>
    <w:p>
      <w:pPr>
        <w:widowControl w:val="0"/>
        <w:pBdr>
          <w:top w:val="none" w:color="auto" w:sz="0" w:space="0"/>
          <w:left w:val="none" w:color="auto" w:sz="0" w:space="0"/>
          <w:bottom w:val="none" w:color="auto" w:sz="0" w:space="0"/>
          <w:right w:val="none" w:color="auto" w:sz="0" w:space="0"/>
        </w:pBdr>
        <w:wordWrap/>
        <w:adjustRightInd/>
        <w:snapToGrid/>
        <w:spacing w:line="600" w:lineRule="exact"/>
        <w:ind w:left="0" w:leftChars="0" w:firstLine="640" w:firstLineChars="200"/>
        <w:textAlignment w:val="auto"/>
        <w:outlineLvl w:val="9"/>
        <w:rPr>
          <w:rFonts w:hint="default" w:ascii="Times New Roman" w:hAnsi="Times New Roman" w:eastAsia="仿宋_GB2312" w:cs="仿宋_GB2312"/>
          <w:color w:val="000000"/>
          <w:sz w:val="32"/>
          <w:szCs w:val="32"/>
          <w:lang w:eastAsia="zh-CN"/>
        </w:rPr>
      </w:pPr>
      <w:r>
        <w:rPr>
          <w:rFonts w:hint="default" w:ascii="Times New Roman" w:hAnsi="Times New Roman" w:eastAsia="仿宋_GB2312" w:cs="仿宋_GB2312"/>
          <w:color w:val="000000"/>
          <w:sz w:val="32"/>
          <w:szCs w:val="32"/>
          <w:lang w:eastAsia="zh-CN"/>
        </w:rPr>
        <w:t>——</w:t>
      </w:r>
      <w:r>
        <w:rPr>
          <w:rFonts w:hint="default" w:ascii="Times New Roman" w:hAnsi="Times New Roman" w:eastAsia="仿宋_GB2312" w:cs="仿宋_GB2312"/>
          <w:color w:val="000000"/>
          <w:sz w:val="32"/>
          <w:szCs w:val="32"/>
          <w:lang w:val="en-US" w:eastAsia="zh-CN"/>
        </w:rPr>
        <w:t>实施质量变革，</w:t>
      </w:r>
      <w:r>
        <w:rPr>
          <w:rFonts w:hint="default" w:ascii="Times New Roman" w:hAnsi="Times New Roman" w:eastAsia="仿宋_GB2312" w:cs="仿宋_GB2312"/>
          <w:color w:val="000000"/>
          <w:sz w:val="32"/>
          <w:szCs w:val="32"/>
        </w:rPr>
        <w:t>开展质量改进活动提升组织产品或服务质量、工艺技术及管理水平等</w:t>
      </w:r>
      <w:r>
        <w:rPr>
          <w:rFonts w:hint="default" w:ascii="Times New Roman" w:hAnsi="Times New Roman" w:eastAsia="仿宋_GB2312" w:cs="仿宋_GB2312"/>
          <w:color w:val="000000"/>
          <w:sz w:val="32"/>
          <w:szCs w:val="32"/>
          <w:lang w:eastAsia="zh-CN"/>
        </w:rPr>
        <w:t>；</w:t>
      </w:r>
    </w:p>
    <w:p>
      <w:pPr>
        <w:widowControl w:val="0"/>
        <w:pBdr>
          <w:top w:val="none" w:color="auto" w:sz="0" w:space="0"/>
          <w:left w:val="none" w:color="auto" w:sz="0" w:space="0"/>
          <w:bottom w:val="none" w:color="auto" w:sz="0" w:space="0"/>
          <w:right w:val="none" w:color="auto" w:sz="0" w:space="0"/>
        </w:pBdr>
        <w:wordWrap/>
        <w:adjustRightInd/>
        <w:snapToGrid/>
        <w:spacing w:line="600" w:lineRule="exact"/>
        <w:ind w:left="0" w:leftChars="0" w:firstLine="640" w:firstLineChars="200"/>
        <w:textAlignment w:val="auto"/>
        <w:outlineLvl w:val="9"/>
        <w:rPr>
          <w:rFonts w:hint="default" w:ascii="Times New Roman" w:hAnsi="Times New Roman" w:eastAsia="仿宋_GB2312" w:cs="仿宋_GB2312"/>
          <w:color w:val="000000"/>
          <w:sz w:val="32"/>
          <w:szCs w:val="32"/>
          <w:lang w:eastAsia="zh-CN"/>
        </w:rPr>
      </w:pPr>
      <w:r>
        <w:rPr>
          <w:rFonts w:hint="default" w:ascii="Times New Roman" w:hAnsi="Times New Roman" w:eastAsia="仿宋_GB2312" w:cs="仿宋_GB2312"/>
          <w:color w:val="000000"/>
          <w:sz w:val="32"/>
          <w:szCs w:val="32"/>
          <w:lang w:eastAsia="zh-CN"/>
        </w:rPr>
        <w:t>——</w:t>
      </w:r>
      <w:r>
        <w:rPr>
          <w:rFonts w:hint="default" w:ascii="Times New Roman" w:hAnsi="Times New Roman" w:eastAsia="仿宋_GB2312" w:cs="仿宋_GB2312"/>
          <w:color w:val="000000"/>
          <w:sz w:val="32"/>
          <w:szCs w:val="32"/>
        </w:rPr>
        <w:t>质量水平（教学水平）</w:t>
      </w:r>
      <w:r>
        <w:rPr>
          <w:rFonts w:hint="default" w:ascii="Times New Roman" w:hAnsi="Times New Roman" w:eastAsia="仿宋_GB2312" w:cs="仿宋_GB2312"/>
          <w:color w:val="000000"/>
          <w:sz w:val="32"/>
          <w:szCs w:val="32"/>
          <w:lang w:eastAsia="zh-CN"/>
        </w:rPr>
        <w:t>：</w:t>
      </w:r>
      <w:r>
        <w:rPr>
          <w:rFonts w:hint="default" w:ascii="Times New Roman" w:hAnsi="Times New Roman" w:eastAsia="仿宋_GB2312" w:cs="仿宋_GB2312"/>
          <w:color w:val="000000"/>
          <w:sz w:val="32"/>
          <w:szCs w:val="32"/>
          <w:lang w:val="en-US" w:eastAsia="zh-CN"/>
        </w:rPr>
        <w:t>关键质量指标水平及提升情况居行业领先。</w:t>
      </w:r>
    </w:p>
    <w:p>
      <w:pPr>
        <w:widowControl w:val="0"/>
        <w:pBdr>
          <w:top w:val="none" w:color="auto" w:sz="0" w:space="0"/>
          <w:left w:val="none" w:color="auto" w:sz="0" w:space="0"/>
          <w:bottom w:val="none" w:color="auto" w:sz="0" w:space="0"/>
          <w:right w:val="none" w:color="auto" w:sz="0" w:space="0"/>
        </w:pBdr>
        <w:wordWrap/>
        <w:adjustRightInd/>
        <w:snapToGrid/>
        <w:spacing w:line="600" w:lineRule="exact"/>
        <w:ind w:left="0" w:leftChars="0" w:firstLine="640" w:firstLineChars="200"/>
        <w:textAlignment w:val="auto"/>
        <w:outlineLvl w:val="9"/>
        <w:rPr>
          <w:rFonts w:hint="default" w:ascii="Times New Roman" w:hAnsi="Times New Roman" w:eastAsia="仿宋_GB2312" w:cs="仿宋_GB2312"/>
          <w:color w:val="000000"/>
          <w:sz w:val="32"/>
          <w:szCs w:val="32"/>
        </w:rPr>
      </w:pPr>
      <w:r>
        <w:rPr>
          <w:rFonts w:hint="default" w:ascii="Times New Roman" w:hAnsi="Times New Roman" w:eastAsia="仿宋_GB2312" w:cs="仿宋_GB2312"/>
          <w:color w:val="000000"/>
          <w:sz w:val="32"/>
          <w:szCs w:val="32"/>
        </w:rPr>
        <w:t>对医疗机构（医院科室、专项医疗团队和社区医疗机构）突出质量安全和医防协同；</w:t>
      </w:r>
    </w:p>
    <w:p>
      <w:pPr>
        <w:pBdr>
          <w:top w:val="none" w:color="auto" w:sz="0" w:space="0"/>
          <w:left w:val="none" w:color="auto" w:sz="0" w:space="0"/>
          <w:bottom w:val="none" w:color="auto" w:sz="0" w:space="0"/>
          <w:right w:val="none" w:color="auto" w:sz="0" w:space="0"/>
        </w:pBdr>
        <w:spacing w:line="600" w:lineRule="exact"/>
        <w:ind w:firstLine="640" w:firstLineChars="200"/>
        <w:outlineLvl w:val="9"/>
        <w:rPr>
          <w:rFonts w:hint="eastAsia"/>
        </w:rPr>
      </w:pPr>
      <w:r>
        <w:rPr>
          <w:rFonts w:hint="default" w:ascii="Times New Roman" w:hAnsi="Times New Roman" w:eastAsia="仿宋_GB2312" w:cs="仿宋_GB2312"/>
          <w:color w:val="000000"/>
          <w:sz w:val="32"/>
          <w:szCs w:val="32"/>
        </w:rPr>
        <w:t>对教育机构（义务教育阶段小学、初中学校和职业院校）则强调教学质量、质量安全和师资素养。</w:t>
      </w:r>
    </w:p>
    <w:p>
      <w:pPr>
        <w:widowControl w:val="0"/>
        <w:pBdr>
          <w:top w:val="none" w:color="auto" w:sz="0" w:space="0"/>
          <w:left w:val="none" w:color="auto" w:sz="0" w:space="0"/>
          <w:bottom w:val="none" w:color="auto" w:sz="0" w:space="0"/>
          <w:right w:val="none" w:color="auto" w:sz="0" w:space="0"/>
        </w:pBdr>
        <w:wordWrap/>
        <w:adjustRightInd/>
        <w:snapToGrid/>
        <w:spacing w:line="600" w:lineRule="exact"/>
        <w:ind w:left="0" w:leftChars="0" w:firstLine="640" w:firstLineChars="200"/>
        <w:textAlignment w:val="auto"/>
        <w:outlineLvl w:val="9"/>
        <w:rPr>
          <w:rFonts w:hint="eastAsia" w:ascii="Times New Roman" w:hAnsi="Times New Roman" w:eastAsia="楷体_GB2312" w:cs="楷体_GB2312"/>
          <w:color w:val="000000"/>
          <w:sz w:val="32"/>
          <w:szCs w:val="32"/>
          <w:lang w:eastAsia="zh-CN"/>
        </w:rPr>
      </w:pPr>
      <w:r>
        <w:rPr>
          <w:rFonts w:hint="eastAsia" w:ascii="Times New Roman" w:hAnsi="Times New Roman" w:eastAsia="楷体_GB2312" w:cs="楷体_GB2312"/>
          <w:color w:val="000000"/>
          <w:sz w:val="32"/>
          <w:szCs w:val="32"/>
          <w:lang w:eastAsia="zh-CN"/>
        </w:rPr>
        <w:t>（三）创新</w:t>
      </w:r>
    </w:p>
    <w:p>
      <w:pPr>
        <w:widowControl w:val="0"/>
        <w:pBdr>
          <w:top w:val="none" w:color="auto" w:sz="0" w:space="0"/>
          <w:left w:val="none" w:color="auto" w:sz="0" w:space="0"/>
          <w:bottom w:val="none" w:color="auto" w:sz="0" w:space="0"/>
          <w:right w:val="none" w:color="auto" w:sz="0" w:space="0"/>
        </w:pBdr>
        <w:wordWrap/>
        <w:adjustRightInd/>
        <w:snapToGrid/>
        <w:spacing w:line="600" w:lineRule="exact"/>
        <w:ind w:left="0" w:leftChars="0" w:firstLine="640" w:firstLineChars="200"/>
        <w:textAlignment w:val="auto"/>
        <w:outlineLvl w:val="9"/>
        <w:rPr>
          <w:rFonts w:hint="default" w:ascii="Times New Roman" w:hAnsi="Times New Roman" w:eastAsia="仿宋_GB2312" w:cs="仿宋_GB2312"/>
          <w:color w:val="000000"/>
          <w:sz w:val="32"/>
          <w:szCs w:val="32"/>
          <w:lang w:eastAsia="zh-CN"/>
        </w:rPr>
      </w:pPr>
      <w:r>
        <w:rPr>
          <w:rFonts w:hint="default" w:ascii="Times New Roman" w:hAnsi="Times New Roman" w:eastAsia="仿宋_GB2312" w:cs="仿宋_GB2312"/>
          <w:color w:val="000000"/>
          <w:sz w:val="32"/>
          <w:szCs w:val="32"/>
          <w:lang w:eastAsia="zh-CN"/>
        </w:rPr>
        <w:t>——</w:t>
      </w:r>
      <w:r>
        <w:rPr>
          <w:rFonts w:hint="default" w:ascii="Times New Roman" w:hAnsi="Times New Roman" w:eastAsia="仿宋_GB2312" w:cs="仿宋_GB2312"/>
          <w:color w:val="000000"/>
          <w:sz w:val="32"/>
          <w:szCs w:val="32"/>
        </w:rPr>
        <w:t>坚持创新发展，将创新理念融入到组织之中</w:t>
      </w:r>
      <w:r>
        <w:rPr>
          <w:rFonts w:hint="default" w:ascii="Times New Roman" w:hAnsi="Times New Roman" w:eastAsia="仿宋_GB2312" w:cs="仿宋_GB2312"/>
          <w:color w:val="000000"/>
          <w:sz w:val="32"/>
          <w:szCs w:val="32"/>
          <w:lang w:eastAsia="zh-CN"/>
        </w:rPr>
        <w:t>；</w:t>
      </w:r>
    </w:p>
    <w:p>
      <w:pPr>
        <w:widowControl w:val="0"/>
        <w:pBdr>
          <w:top w:val="none" w:color="auto" w:sz="0" w:space="0"/>
          <w:left w:val="none" w:color="auto" w:sz="0" w:space="0"/>
          <w:bottom w:val="none" w:color="auto" w:sz="0" w:space="0"/>
          <w:right w:val="none" w:color="auto" w:sz="0" w:space="0"/>
        </w:pBdr>
        <w:wordWrap/>
        <w:adjustRightInd/>
        <w:snapToGrid/>
        <w:spacing w:line="600" w:lineRule="exact"/>
        <w:ind w:left="0" w:leftChars="0" w:firstLine="640" w:firstLineChars="200"/>
        <w:textAlignment w:val="auto"/>
        <w:outlineLvl w:val="9"/>
        <w:rPr>
          <w:rFonts w:hint="default" w:ascii="Times New Roman" w:hAnsi="Times New Roman" w:eastAsia="仿宋_GB2312" w:cs="仿宋_GB2312"/>
          <w:color w:val="000000"/>
          <w:sz w:val="32"/>
          <w:szCs w:val="32"/>
        </w:rPr>
      </w:pPr>
      <w:r>
        <w:rPr>
          <w:rFonts w:hint="default" w:ascii="Times New Roman" w:hAnsi="Times New Roman" w:eastAsia="仿宋_GB2312" w:cs="仿宋_GB2312"/>
          <w:color w:val="000000"/>
          <w:sz w:val="32"/>
          <w:szCs w:val="32"/>
          <w:lang w:eastAsia="zh-CN"/>
        </w:rPr>
        <w:t>——</w:t>
      </w:r>
      <w:r>
        <w:rPr>
          <w:rFonts w:hint="default" w:ascii="Times New Roman" w:hAnsi="Times New Roman" w:eastAsia="仿宋_GB2312" w:cs="仿宋_GB2312"/>
          <w:color w:val="000000"/>
          <w:sz w:val="32"/>
          <w:szCs w:val="32"/>
          <w:lang w:val="en-US" w:eastAsia="zh-CN"/>
        </w:rPr>
        <w:t>创新是</w:t>
      </w:r>
      <w:r>
        <w:rPr>
          <w:rFonts w:hint="eastAsia" w:ascii="Times New Roman" w:hAnsi="Times New Roman" w:eastAsia="仿宋_GB2312" w:cs="仿宋_GB2312"/>
          <w:color w:val="000000"/>
          <w:sz w:val="32"/>
          <w:szCs w:val="32"/>
          <w:lang w:val="en-US" w:eastAsia="zh-CN"/>
        </w:rPr>
        <w:t>驱动</w:t>
      </w:r>
      <w:r>
        <w:rPr>
          <w:rFonts w:hint="default" w:ascii="Times New Roman" w:hAnsi="Times New Roman" w:eastAsia="仿宋_GB2312" w:cs="仿宋_GB2312"/>
          <w:color w:val="000000"/>
          <w:sz w:val="32"/>
          <w:szCs w:val="32"/>
          <w:lang w:val="en-US" w:eastAsia="zh-CN"/>
        </w:rPr>
        <w:t>发展</w:t>
      </w:r>
      <w:r>
        <w:rPr>
          <w:rFonts w:hint="eastAsia" w:ascii="Times New Roman" w:hAnsi="Times New Roman" w:eastAsia="仿宋_GB2312" w:cs="仿宋_GB2312"/>
          <w:color w:val="000000"/>
          <w:sz w:val="32"/>
          <w:szCs w:val="32"/>
          <w:lang w:val="en-US" w:eastAsia="zh-CN"/>
        </w:rPr>
        <w:t>的</w:t>
      </w:r>
      <w:r>
        <w:rPr>
          <w:rFonts w:hint="default" w:ascii="Times New Roman" w:hAnsi="Times New Roman" w:eastAsia="仿宋_GB2312" w:cs="仿宋_GB2312"/>
          <w:color w:val="000000"/>
          <w:sz w:val="32"/>
          <w:szCs w:val="32"/>
          <w:lang w:val="en-US" w:eastAsia="zh-CN"/>
        </w:rPr>
        <w:t>第一动力，实施</w:t>
      </w:r>
      <w:r>
        <w:rPr>
          <w:rFonts w:hint="default" w:ascii="Times New Roman" w:hAnsi="Times New Roman" w:eastAsia="仿宋_GB2312" w:cs="仿宋_GB2312"/>
          <w:color w:val="000000"/>
          <w:sz w:val="32"/>
          <w:szCs w:val="32"/>
          <w:lang w:eastAsia="zh-CN"/>
        </w:rPr>
        <w:t>动力变革，</w:t>
      </w:r>
      <w:r>
        <w:rPr>
          <w:rFonts w:hint="default" w:ascii="Times New Roman" w:hAnsi="Times New Roman" w:eastAsia="仿宋_GB2312" w:cs="仿宋_GB2312"/>
          <w:color w:val="000000"/>
          <w:sz w:val="32"/>
          <w:szCs w:val="32"/>
        </w:rPr>
        <w:t>建立创新机制，打造科研创新团队，提升创新能力</w:t>
      </w:r>
      <w:r>
        <w:rPr>
          <w:rFonts w:hint="default" w:ascii="Times New Roman" w:hAnsi="Times New Roman" w:eastAsia="仿宋_GB2312" w:cs="仿宋_GB2312"/>
          <w:color w:val="000000"/>
          <w:sz w:val="32"/>
          <w:szCs w:val="32"/>
          <w:lang w:eastAsia="zh-CN"/>
        </w:rPr>
        <w:t>；</w:t>
      </w:r>
    </w:p>
    <w:p>
      <w:pPr>
        <w:widowControl w:val="0"/>
        <w:pBdr>
          <w:top w:val="none" w:color="auto" w:sz="0" w:space="0"/>
          <w:left w:val="none" w:color="auto" w:sz="0" w:space="0"/>
          <w:bottom w:val="none" w:color="auto" w:sz="0" w:space="0"/>
          <w:right w:val="none" w:color="auto" w:sz="0" w:space="0"/>
        </w:pBdr>
        <w:wordWrap/>
        <w:adjustRightInd/>
        <w:snapToGrid/>
        <w:spacing w:line="600" w:lineRule="exact"/>
        <w:ind w:left="0" w:leftChars="0" w:firstLine="640" w:firstLineChars="200"/>
        <w:textAlignment w:val="auto"/>
        <w:outlineLvl w:val="9"/>
        <w:rPr>
          <w:rFonts w:hint="default" w:ascii="Times New Roman" w:hAnsi="Times New Roman" w:eastAsia="仿宋_GB2312" w:cs="仿宋_GB2312"/>
          <w:color w:val="000000"/>
          <w:sz w:val="32"/>
          <w:szCs w:val="32"/>
          <w:lang w:eastAsia="zh-CN"/>
        </w:rPr>
      </w:pPr>
      <w:r>
        <w:rPr>
          <w:rFonts w:hint="default" w:ascii="Times New Roman" w:hAnsi="Times New Roman" w:eastAsia="仿宋_GB2312" w:cs="仿宋_GB2312"/>
          <w:color w:val="000000"/>
          <w:sz w:val="32"/>
          <w:szCs w:val="32"/>
          <w:lang w:eastAsia="zh-CN"/>
        </w:rPr>
        <w:t>——</w:t>
      </w:r>
      <w:r>
        <w:rPr>
          <w:rFonts w:hint="default" w:ascii="Times New Roman" w:hAnsi="Times New Roman" w:eastAsia="仿宋_GB2312" w:cs="仿宋_GB2312"/>
          <w:color w:val="000000"/>
          <w:sz w:val="32"/>
          <w:szCs w:val="32"/>
        </w:rPr>
        <w:t>实施管理模式、经营模式、商业模式创新和技术创新，以提高组织效益，增强组织的核心竞争力</w:t>
      </w:r>
      <w:r>
        <w:rPr>
          <w:rFonts w:hint="default" w:ascii="Times New Roman" w:hAnsi="Times New Roman" w:eastAsia="仿宋_GB2312" w:cs="仿宋_GB2312"/>
          <w:color w:val="000000"/>
          <w:sz w:val="32"/>
          <w:szCs w:val="32"/>
          <w:lang w:eastAsia="zh-CN"/>
        </w:rPr>
        <w:t>；</w:t>
      </w:r>
    </w:p>
    <w:p>
      <w:pPr>
        <w:widowControl w:val="0"/>
        <w:pBdr>
          <w:top w:val="none" w:color="auto" w:sz="0" w:space="0"/>
          <w:left w:val="none" w:color="auto" w:sz="0" w:space="0"/>
          <w:bottom w:val="none" w:color="auto" w:sz="0" w:space="0"/>
          <w:right w:val="none" w:color="auto" w:sz="0" w:space="0"/>
        </w:pBdr>
        <w:wordWrap/>
        <w:adjustRightInd/>
        <w:snapToGrid/>
        <w:spacing w:line="600" w:lineRule="exact"/>
        <w:ind w:left="0" w:leftChars="0" w:firstLine="640" w:firstLineChars="200"/>
        <w:textAlignment w:val="auto"/>
        <w:outlineLvl w:val="9"/>
        <w:rPr>
          <w:rFonts w:hint="default" w:ascii="Times New Roman" w:hAnsi="Times New Roman" w:eastAsia="仿宋_GB2312" w:cs="仿宋_GB2312"/>
          <w:color w:val="000000"/>
          <w:sz w:val="32"/>
          <w:szCs w:val="32"/>
          <w:lang w:val="en-US" w:eastAsia="zh-CN"/>
        </w:rPr>
      </w:pPr>
      <w:r>
        <w:rPr>
          <w:rFonts w:hint="default" w:ascii="Times New Roman" w:hAnsi="Times New Roman" w:eastAsia="仿宋_GB2312" w:cs="仿宋_GB2312"/>
          <w:color w:val="000000"/>
          <w:sz w:val="32"/>
          <w:szCs w:val="32"/>
          <w:lang w:eastAsia="zh-CN"/>
        </w:rPr>
        <w:t>——</w:t>
      </w:r>
      <w:r>
        <w:rPr>
          <w:rFonts w:hint="default" w:ascii="Times New Roman" w:hAnsi="Times New Roman" w:eastAsia="仿宋_GB2312" w:cs="仿宋_GB2312"/>
          <w:color w:val="000000"/>
          <w:sz w:val="32"/>
          <w:szCs w:val="32"/>
        </w:rPr>
        <w:t>创新价值</w:t>
      </w:r>
      <w:r>
        <w:rPr>
          <w:rFonts w:hint="default" w:ascii="Times New Roman" w:hAnsi="Times New Roman" w:eastAsia="仿宋_GB2312" w:cs="仿宋_GB2312"/>
          <w:color w:val="000000"/>
          <w:sz w:val="32"/>
          <w:szCs w:val="32"/>
          <w:lang w:eastAsia="zh-CN"/>
        </w:rPr>
        <w:t>：</w:t>
      </w:r>
      <w:r>
        <w:rPr>
          <w:rFonts w:hint="default" w:ascii="Times New Roman" w:hAnsi="Times New Roman" w:eastAsia="仿宋_GB2312" w:cs="仿宋_GB2312"/>
          <w:color w:val="000000"/>
          <w:sz w:val="32"/>
          <w:szCs w:val="32"/>
          <w:lang w:val="en-US" w:eastAsia="zh-CN"/>
        </w:rPr>
        <w:t>拥有的核心技术，包括发明专利、参与标准制定和新产品的市场销售等居行业领先。</w:t>
      </w:r>
    </w:p>
    <w:p>
      <w:pPr>
        <w:widowControl w:val="0"/>
        <w:pBdr>
          <w:top w:val="none" w:color="auto" w:sz="0" w:space="0"/>
          <w:left w:val="none" w:color="auto" w:sz="0" w:space="0"/>
          <w:bottom w:val="none" w:color="auto" w:sz="0" w:space="0"/>
          <w:right w:val="none" w:color="auto" w:sz="0" w:space="0"/>
        </w:pBdr>
        <w:wordWrap/>
        <w:adjustRightInd/>
        <w:snapToGrid/>
        <w:spacing w:line="600" w:lineRule="exact"/>
        <w:ind w:left="0" w:leftChars="0" w:firstLine="640" w:firstLineChars="200"/>
        <w:textAlignment w:val="auto"/>
        <w:outlineLvl w:val="9"/>
        <w:rPr>
          <w:rFonts w:hint="eastAsia" w:ascii="Times New Roman" w:hAnsi="Times New Roman" w:eastAsia="楷体_GB2312" w:cs="楷体_GB2312"/>
          <w:color w:val="000000"/>
          <w:sz w:val="32"/>
          <w:szCs w:val="32"/>
          <w:lang w:eastAsia="zh-CN"/>
        </w:rPr>
      </w:pPr>
      <w:r>
        <w:rPr>
          <w:rFonts w:hint="eastAsia" w:ascii="Times New Roman" w:hAnsi="Times New Roman" w:eastAsia="楷体_GB2312" w:cs="楷体_GB2312"/>
          <w:color w:val="000000"/>
          <w:sz w:val="32"/>
          <w:szCs w:val="32"/>
          <w:lang w:eastAsia="zh-CN"/>
        </w:rPr>
        <w:t>（四）品牌</w:t>
      </w:r>
    </w:p>
    <w:p>
      <w:pPr>
        <w:widowControl w:val="0"/>
        <w:pBdr>
          <w:top w:val="none" w:color="auto" w:sz="0" w:space="0"/>
          <w:left w:val="none" w:color="auto" w:sz="0" w:space="0"/>
          <w:bottom w:val="none" w:color="auto" w:sz="0" w:space="0"/>
          <w:right w:val="none" w:color="auto" w:sz="0" w:space="0"/>
        </w:pBdr>
        <w:wordWrap/>
        <w:adjustRightInd/>
        <w:snapToGrid/>
        <w:spacing w:line="600" w:lineRule="exact"/>
        <w:ind w:left="0" w:leftChars="0" w:firstLine="640" w:firstLineChars="200"/>
        <w:textAlignment w:val="auto"/>
        <w:outlineLvl w:val="9"/>
        <w:rPr>
          <w:rFonts w:hint="default" w:ascii="Times New Roman" w:hAnsi="Times New Roman" w:eastAsia="仿宋_GB2312" w:cs="仿宋_GB2312"/>
          <w:color w:val="000000"/>
          <w:sz w:val="32"/>
          <w:szCs w:val="32"/>
          <w:lang w:eastAsia="zh-CN"/>
        </w:rPr>
      </w:pPr>
      <w:r>
        <w:rPr>
          <w:rFonts w:hint="default" w:ascii="Times New Roman" w:hAnsi="Times New Roman" w:eastAsia="仿宋_GB2312" w:cs="仿宋_GB2312"/>
          <w:color w:val="000000"/>
          <w:sz w:val="32"/>
          <w:szCs w:val="32"/>
          <w:lang w:eastAsia="zh-CN"/>
        </w:rPr>
        <w:t>——</w:t>
      </w:r>
      <w:r>
        <w:rPr>
          <w:rFonts w:hint="default" w:ascii="Times New Roman" w:hAnsi="Times New Roman" w:eastAsia="仿宋_GB2312" w:cs="仿宋_GB2312"/>
          <w:color w:val="000000"/>
          <w:sz w:val="32"/>
          <w:szCs w:val="32"/>
        </w:rPr>
        <w:t>加强品牌规划促进品牌培育</w:t>
      </w:r>
      <w:r>
        <w:rPr>
          <w:rFonts w:hint="default" w:ascii="Times New Roman" w:hAnsi="Times New Roman" w:eastAsia="仿宋_GB2312" w:cs="仿宋_GB2312"/>
          <w:color w:val="000000"/>
          <w:sz w:val="32"/>
          <w:szCs w:val="32"/>
          <w:lang w:eastAsia="zh-CN"/>
        </w:rPr>
        <w:t>；</w:t>
      </w:r>
    </w:p>
    <w:p>
      <w:pPr>
        <w:widowControl w:val="0"/>
        <w:pBdr>
          <w:top w:val="none" w:color="auto" w:sz="0" w:space="0"/>
          <w:left w:val="none" w:color="auto" w:sz="0" w:space="0"/>
          <w:bottom w:val="none" w:color="auto" w:sz="0" w:space="0"/>
          <w:right w:val="none" w:color="auto" w:sz="0" w:space="0"/>
        </w:pBdr>
        <w:wordWrap/>
        <w:adjustRightInd/>
        <w:snapToGrid/>
        <w:spacing w:line="600" w:lineRule="exact"/>
        <w:ind w:left="0" w:leftChars="0" w:firstLine="640" w:firstLineChars="200"/>
        <w:textAlignment w:val="auto"/>
        <w:outlineLvl w:val="9"/>
        <w:rPr>
          <w:rFonts w:hint="default" w:ascii="Times New Roman" w:hAnsi="Times New Roman" w:eastAsia="仿宋_GB2312" w:cs="仿宋_GB2312"/>
          <w:color w:val="000000"/>
          <w:sz w:val="32"/>
          <w:szCs w:val="32"/>
          <w:lang w:eastAsia="zh-CN"/>
        </w:rPr>
      </w:pPr>
      <w:r>
        <w:rPr>
          <w:rFonts w:hint="default" w:ascii="Times New Roman" w:hAnsi="Times New Roman" w:eastAsia="仿宋_GB2312" w:cs="仿宋_GB2312"/>
          <w:color w:val="000000"/>
          <w:sz w:val="32"/>
          <w:szCs w:val="32"/>
          <w:lang w:eastAsia="zh-CN"/>
        </w:rPr>
        <w:t>——</w:t>
      </w:r>
      <w:r>
        <w:rPr>
          <w:rFonts w:hint="default" w:ascii="Times New Roman" w:hAnsi="Times New Roman" w:eastAsia="仿宋_GB2312" w:cs="仿宋_GB2312"/>
          <w:color w:val="000000"/>
          <w:sz w:val="32"/>
          <w:szCs w:val="32"/>
        </w:rPr>
        <w:t>加强品牌管理提升品牌价值</w:t>
      </w:r>
      <w:r>
        <w:rPr>
          <w:rFonts w:hint="default" w:ascii="Times New Roman" w:hAnsi="Times New Roman" w:eastAsia="仿宋_GB2312" w:cs="仿宋_GB2312"/>
          <w:color w:val="000000"/>
          <w:sz w:val="32"/>
          <w:szCs w:val="32"/>
          <w:lang w:eastAsia="zh-CN"/>
        </w:rPr>
        <w:t>；</w:t>
      </w:r>
    </w:p>
    <w:p>
      <w:pPr>
        <w:widowControl w:val="0"/>
        <w:pBdr>
          <w:top w:val="none" w:color="auto" w:sz="0" w:space="0"/>
          <w:left w:val="none" w:color="auto" w:sz="0" w:space="0"/>
          <w:bottom w:val="none" w:color="auto" w:sz="0" w:space="0"/>
          <w:right w:val="none" w:color="auto" w:sz="0" w:space="0"/>
        </w:pBdr>
        <w:wordWrap/>
        <w:adjustRightInd/>
        <w:snapToGrid/>
        <w:spacing w:line="600" w:lineRule="exact"/>
        <w:ind w:left="0" w:leftChars="0" w:firstLine="640" w:firstLineChars="200"/>
        <w:textAlignment w:val="auto"/>
        <w:outlineLvl w:val="9"/>
        <w:rPr>
          <w:rFonts w:hint="default" w:ascii="Times New Roman" w:hAnsi="Times New Roman" w:eastAsia="仿宋_GB2312" w:cs="仿宋_GB2312"/>
          <w:color w:val="000000"/>
          <w:sz w:val="32"/>
          <w:szCs w:val="32"/>
          <w:lang w:eastAsia="zh-CN"/>
        </w:rPr>
      </w:pPr>
      <w:r>
        <w:rPr>
          <w:rFonts w:hint="default" w:ascii="Times New Roman" w:hAnsi="Times New Roman" w:eastAsia="仿宋_GB2312" w:cs="仿宋_GB2312"/>
          <w:color w:val="000000"/>
          <w:sz w:val="32"/>
          <w:szCs w:val="32"/>
          <w:lang w:eastAsia="zh-CN"/>
        </w:rPr>
        <w:t>——</w:t>
      </w:r>
      <w:r>
        <w:rPr>
          <w:rFonts w:hint="default" w:ascii="Times New Roman" w:hAnsi="Times New Roman" w:eastAsia="仿宋_GB2312" w:cs="仿宋_GB2312"/>
          <w:color w:val="000000"/>
          <w:sz w:val="32"/>
          <w:szCs w:val="32"/>
        </w:rPr>
        <w:t>强化品牌保护降低品牌风险，以增强品牌竞争力</w:t>
      </w:r>
      <w:r>
        <w:rPr>
          <w:rFonts w:hint="default" w:ascii="Times New Roman" w:hAnsi="Times New Roman" w:eastAsia="仿宋_GB2312" w:cs="仿宋_GB2312"/>
          <w:color w:val="000000"/>
          <w:sz w:val="32"/>
          <w:szCs w:val="32"/>
          <w:lang w:eastAsia="zh-CN"/>
        </w:rPr>
        <w:t>；</w:t>
      </w:r>
    </w:p>
    <w:p>
      <w:pPr>
        <w:widowControl w:val="0"/>
        <w:pBdr>
          <w:top w:val="none" w:color="auto" w:sz="0" w:space="0"/>
          <w:left w:val="none" w:color="auto" w:sz="0" w:space="0"/>
          <w:bottom w:val="none" w:color="auto" w:sz="0" w:space="0"/>
          <w:right w:val="none" w:color="auto" w:sz="0" w:space="0"/>
        </w:pBdr>
        <w:wordWrap/>
        <w:adjustRightInd/>
        <w:snapToGrid/>
        <w:spacing w:line="600" w:lineRule="exact"/>
        <w:ind w:left="0" w:leftChars="0" w:firstLine="640" w:firstLineChars="200"/>
        <w:textAlignment w:val="auto"/>
        <w:outlineLvl w:val="9"/>
        <w:rPr>
          <w:rFonts w:hint="default" w:ascii="Times New Roman" w:hAnsi="Times New Roman" w:eastAsia="仿宋_GB2312" w:cs="仿宋_GB2312"/>
          <w:color w:val="000000"/>
          <w:sz w:val="32"/>
          <w:szCs w:val="32"/>
          <w:lang w:eastAsia="zh-CN"/>
        </w:rPr>
      </w:pPr>
      <w:r>
        <w:rPr>
          <w:rFonts w:hint="default" w:ascii="Times New Roman" w:hAnsi="Times New Roman" w:eastAsia="仿宋_GB2312" w:cs="仿宋_GB2312"/>
          <w:color w:val="000000"/>
          <w:sz w:val="32"/>
          <w:szCs w:val="32"/>
          <w:lang w:eastAsia="zh-CN"/>
        </w:rPr>
        <w:t>——</w:t>
      </w:r>
      <w:r>
        <w:rPr>
          <w:rFonts w:hint="default" w:ascii="Times New Roman" w:hAnsi="Times New Roman" w:eastAsia="仿宋_GB2312" w:cs="仿宋_GB2312"/>
          <w:color w:val="000000"/>
          <w:sz w:val="32"/>
          <w:szCs w:val="32"/>
        </w:rPr>
        <w:t>品牌影响</w:t>
      </w:r>
      <w:r>
        <w:rPr>
          <w:rFonts w:hint="default" w:ascii="Times New Roman" w:hAnsi="Times New Roman" w:eastAsia="仿宋_GB2312" w:cs="仿宋_GB2312"/>
          <w:color w:val="000000"/>
          <w:sz w:val="32"/>
          <w:szCs w:val="32"/>
          <w:lang w:eastAsia="zh-CN"/>
        </w:rPr>
        <w:t>：</w:t>
      </w:r>
      <w:r>
        <w:rPr>
          <w:rFonts w:hint="default" w:ascii="Times New Roman" w:hAnsi="Times New Roman" w:eastAsia="仿宋_GB2312" w:cs="仿宋_GB2312"/>
          <w:color w:val="000000"/>
          <w:sz w:val="32"/>
          <w:szCs w:val="32"/>
          <w:lang w:val="en-US" w:eastAsia="zh-CN"/>
        </w:rPr>
        <w:t>主要品牌竞争力、社会认可及品牌价值处于同行业领先。</w:t>
      </w:r>
    </w:p>
    <w:p>
      <w:pPr>
        <w:widowControl w:val="0"/>
        <w:pBdr>
          <w:top w:val="none" w:color="auto" w:sz="0" w:space="0"/>
          <w:left w:val="none" w:color="auto" w:sz="0" w:space="0"/>
          <w:bottom w:val="none" w:color="auto" w:sz="0" w:space="0"/>
          <w:right w:val="none" w:color="auto" w:sz="0" w:space="0"/>
        </w:pBdr>
        <w:wordWrap/>
        <w:adjustRightInd/>
        <w:snapToGrid/>
        <w:spacing w:line="600" w:lineRule="exact"/>
        <w:ind w:left="0" w:leftChars="0" w:firstLine="640" w:firstLineChars="200"/>
        <w:textAlignment w:val="auto"/>
        <w:outlineLvl w:val="9"/>
        <w:rPr>
          <w:rFonts w:hint="default" w:ascii="Times New Roman" w:hAnsi="Times New Roman" w:eastAsia="仿宋_GB2312" w:cs="仿宋_GB2312"/>
          <w:color w:val="000000"/>
          <w:sz w:val="32"/>
          <w:szCs w:val="32"/>
        </w:rPr>
      </w:pPr>
      <w:r>
        <w:rPr>
          <w:rFonts w:hint="default" w:ascii="Times New Roman" w:hAnsi="Times New Roman" w:eastAsia="仿宋_GB2312" w:cs="仿宋_GB2312"/>
          <w:color w:val="000000"/>
          <w:sz w:val="32"/>
          <w:szCs w:val="32"/>
        </w:rPr>
        <w:t>对医疗机构（医院科室、专项医疗团队和社区医疗机构）强调构建和谐医患关系营造良好社会氛围、加强医务保护</w:t>
      </w:r>
      <w:r>
        <w:rPr>
          <w:rFonts w:hint="eastAsia" w:ascii="Times New Roman" w:hAnsi="Times New Roman" w:eastAsia="仿宋_GB2312" w:cs="仿宋_GB2312"/>
          <w:color w:val="000000"/>
          <w:sz w:val="32"/>
          <w:szCs w:val="32"/>
          <w:lang w:eastAsia="zh-CN"/>
        </w:rPr>
        <w:t>、</w:t>
      </w:r>
      <w:r>
        <w:rPr>
          <w:rFonts w:hint="default" w:ascii="Times New Roman" w:hAnsi="Times New Roman" w:eastAsia="仿宋_GB2312" w:cs="仿宋_GB2312"/>
          <w:color w:val="000000"/>
          <w:sz w:val="32"/>
          <w:szCs w:val="32"/>
        </w:rPr>
        <w:t>保障医患双方合法权益；</w:t>
      </w:r>
    </w:p>
    <w:p>
      <w:pPr>
        <w:widowControl w:val="0"/>
        <w:pBdr>
          <w:top w:val="none" w:color="auto" w:sz="0" w:space="0"/>
          <w:left w:val="none" w:color="auto" w:sz="0" w:space="0"/>
          <w:bottom w:val="none" w:color="auto" w:sz="0" w:space="0"/>
          <w:right w:val="none" w:color="auto" w:sz="0" w:space="0"/>
        </w:pBdr>
        <w:wordWrap/>
        <w:adjustRightInd/>
        <w:snapToGrid/>
        <w:spacing w:line="600" w:lineRule="exact"/>
        <w:ind w:left="0" w:leftChars="0" w:firstLine="640" w:firstLineChars="200"/>
        <w:textAlignment w:val="auto"/>
        <w:outlineLvl w:val="9"/>
        <w:rPr>
          <w:rFonts w:hint="default" w:ascii="Times New Roman" w:hAnsi="Times New Roman" w:eastAsia="仿宋_GB2312" w:cs="仿宋_GB2312"/>
          <w:color w:val="000000"/>
          <w:sz w:val="32"/>
          <w:szCs w:val="32"/>
        </w:rPr>
      </w:pPr>
      <w:r>
        <w:rPr>
          <w:rFonts w:hint="default" w:ascii="Times New Roman" w:hAnsi="Times New Roman" w:eastAsia="仿宋_GB2312" w:cs="仿宋_GB2312"/>
          <w:color w:val="000000"/>
          <w:sz w:val="32"/>
          <w:szCs w:val="32"/>
        </w:rPr>
        <w:t>对教育机构（义务教育阶段小学、初中学校和职业院校）则强调社会关切的学校</w:t>
      </w:r>
      <w:r>
        <w:rPr>
          <w:rFonts w:hint="default" w:ascii="Times New Roman" w:hAnsi="Times New Roman" w:eastAsia="仿宋_GB2312" w:cs="仿宋_GB2312"/>
          <w:color w:val="000000"/>
          <w:sz w:val="32"/>
          <w:szCs w:val="32"/>
          <w:lang w:val="en-US" w:eastAsia="zh-CN"/>
        </w:rPr>
        <w:t>办学</w:t>
      </w:r>
      <w:r>
        <w:rPr>
          <w:rFonts w:hint="default" w:ascii="Times New Roman" w:hAnsi="Times New Roman" w:eastAsia="仿宋_GB2312" w:cs="仿宋_GB2312"/>
          <w:color w:val="000000"/>
          <w:sz w:val="32"/>
          <w:szCs w:val="32"/>
        </w:rPr>
        <w:t>条件、沟通反馈机制、师生、家长</w:t>
      </w:r>
      <w:r>
        <w:rPr>
          <w:rFonts w:hint="default" w:ascii="Times New Roman" w:hAnsi="Times New Roman" w:eastAsia="仿宋_GB2312" w:cs="仿宋_GB2312"/>
          <w:color w:val="000000"/>
          <w:sz w:val="32"/>
          <w:szCs w:val="32"/>
          <w:lang w:val="en-US" w:eastAsia="zh-CN"/>
        </w:rPr>
        <w:t>及</w:t>
      </w:r>
      <w:r>
        <w:rPr>
          <w:rFonts w:hint="default" w:ascii="Times New Roman" w:hAnsi="Times New Roman" w:eastAsia="仿宋_GB2312" w:cs="仿宋_GB2312"/>
          <w:color w:val="000000"/>
          <w:sz w:val="32"/>
          <w:szCs w:val="32"/>
        </w:rPr>
        <w:t>社会对办学的评价</w:t>
      </w:r>
      <w:r>
        <w:rPr>
          <w:rFonts w:hint="default" w:ascii="Times New Roman" w:hAnsi="Times New Roman" w:eastAsia="仿宋_GB2312" w:cs="仿宋_GB2312"/>
          <w:color w:val="000000"/>
          <w:sz w:val="32"/>
          <w:szCs w:val="32"/>
          <w:lang w:val="en-US" w:eastAsia="zh-CN"/>
        </w:rPr>
        <w:t>机制等</w:t>
      </w:r>
      <w:r>
        <w:rPr>
          <w:rFonts w:hint="default" w:ascii="Times New Roman" w:hAnsi="Times New Roman" w:eastAsia="仿宋_GB2312" w:cs="仿宋_GB2312"/>
          <w:color w:val="000000"/>
          <w:sz w:val="32"/>
          <w:szCs w:val="32"/>
        </w:rPr>
        <w:t>。</w:t>
      </w:r>
    </w:p>
    <w:p>
      <w:pPr>
        <w:widowControl w:val="0"/>
        <w:pBdr>
          <w:top w:val="none" w:color="auto" w:sz="0" w:space="0"/>
          <w:left w:val="none" w:color="auto" w:sz="0" w:space="0"/>
          <w:bottom w:val="none" w:color="auto" w:sz="0" w:space="0"/>
          <w:right w:val="none" w:color="auto" w:sz="0" w:space="0"/>
        </w:pBdr>
        <w:wordWrap/>
        <w:adjustRightInd/>
        <w:snapToGrid/>
        <w:spacing w:line="600" w:lineRule="exact"/>
        <w:ind w:left="0" w:leftChars="0" w:firstLine="640" w:firstLineChars="200"/>
        <w:textAlignment w:val="auto"/>
        <w:outlineLvl w:val="9"/>
        <w:rPr>
          <w:rFonts w:hint="eastAsia" w:ascii="Times New Roman" w:hAnsi="Times New Roman" w:eastAsia="楷体_GB2312" w:cs="楷体_GB2312"/>
          <w:color w:val="000000"/>
          <w:sz w:val="32"/>
          <w:szCs w:val="32"/>
          <w:lang w:eastAsia="zh-CN"/>
        </w:rPr>
      </w:pPr>
      <w:r>
        <w:rPr>
          <w:rFonts w:hint="eastAsia" w:ascii="Times New Roman" w:hAnsi="Times New Roman" w:eastAsia="楷体_GB2312" w:cs="楷体_GB2312"/>
          <w:color w:val="000000"/>
          <w:sz w:val="32"/>
          <w:szCs w:val="32"/>
          <w:lang w:eastAsia="zh-CN"/>
        </w:rPr>
        <w:t>（五）效益</w:t>
      </w:r>
    </w:p>
    <w:p>
      <w:pPr>
        <w:widowControl w:val="0"/>
        <w:pBdr>
          <w:top w:val="none" w:color="auto" w:sz="0" w:space="0"/>
          <w:left w:val="none" w:color="auto" w:sz="0" w:space="0"/>
          <w:bottom w:val="none" w:color="auto" w:sz="0" w:space="0"/>
          <w:right w:val="none" w:color="auto" w:sz="0" w:space="0"/>
        </w:pBdr>
        <w:wordWrap/>
        <w:adjustRightInd/>
        <w:snapToGrid/>
        <w:spacing w:line="600" w:lineRule="exact"/>
        <w:ind w:left="0" w:leftChars="0" w:firstLine="640" w:firstLineChars="200"/>
        <w:textAlignment w:val="auto"/>
        <w:outlineLvl w:val="9"/>
        <w:rPr>
          <w:rFonts w:hint="default" w:ascii="Times New Roman" w:hAnsi="Times New Roman" w:eastAsia="仿宋_GB2312" w:cs="仿宋_GB2312"/>
          <w:color w:val="000000"/>
          <w:sz w:val="32"/>
          <w:szCs w:val="32"/>
          <w:lang w:eastAsia="zh-CN"/>
        </w:rPr>
      </w:pPr>
      <w:r>
        <w:rPr>
          <w:rFonts w:hint="default" w:ascii="Times New Roman" w:hAnsi="Times New Roman" w:eastAsia="仿宋_GB2312" w:cs="仿宋_GB2312"/>
          <w:color w:val="000000"/>
          <w:sz w:val="32"/>
          <w:szCs w:val="32"/>
          <w:lang w:eastAsia="zh-CN"/>
        </w:rPr>
        <w:t>——</w:t>
      </w:r>
      <w:r>
        <w:rPr>
          <w:rFonts w:hint="default" w:ascii="Times New Roman" w:hAnsi="Times New Roman" w:eastAsia="仿宋_GB2312" w:cs="仿宋_GB2312"/>
          <w:color w:val="000000"/>
          <w:sz w:val="32"/>
          <w:szCs w:val="32"/>
        </w:rPr>
        <w:t>绿色成效</w:t>
      </w:r>
      <w:r>
        <w:rPr>
          <w:rFonts w:hint="default" w:ascii="Times New Roman" w:hAnsi="Times New Roman" w:eastAsia="仿宋_GB2312" w:cs="仿宋_GB2312"/>
          <w:color w:val="000000"/>
          <w:sz w:val="32"/>
          <w:szCs w:val="32"/>
          <w:lang w:eastAsia="zh-CN"/>
        </w:rPr>
        <w:t>：</w:t>
      </w:r>
      <w:r>
        <w:rPr>
          <w:rFonts w:hint="default" w:ascii="Times New Roman" w:hAnsi="Times New Roman" w:eastAsia="仿宋_GB2312" w:cs="仿宋_GB2312"/>
          <w:color w:val="000000"/>
          <w:sz w:val="32"/>
          <w:szCs w:val="32"/>
          <w:lang w:val="en-US" w:eastAsia="zh-CN"/>
        </w:rPr>
        <w:t>万元总产值综合能耗和污染物排放水平。</w:t>
      </w:r>
    </w:p>
    <w:p>
      <w:pPr>
        <w:widowControl w:val="0"/>
        <w:pBdr>
          <w:top w:val="none" w:color="auto" w:sz="0" w:space="0"/>
          <w:left w:val="none" w:color="auto" w:sz="0" w:space="0"/>
          <w:bottom w:val="none" w:color="auto" w:sz="0" w:space="0"/>
          <w:right w:val="none" w:color="auto" w:sz="0" w:space="0"/>
        </w:pBdr>
        <w:wordWrap/>
        <w:adjustRightInd/>
        <w:snapToGrid/>
        <w:spacing w:line="600" w:lineRule="exact"/>
        <w:ind w:left="0" w:leftChars="0" w:firstLine="640" w:firstLineChars="200"/>
        <w:textAlignment w:val="auto"/>
        <w:outlineLvl w:val="9"/>
        <w:rPr>
          <w:rFonts w:hint="default" w:ascii="Times New Roman" w:hAnsi="Times New Roman" w:eastAsia="仿宋_GB2312" w:cs="仿宋_GB2312"/>
          <w:color w:val="000000"/>
          <w:sz w:val="32"/>
          <w:szCs w:val="32"/>
        </w:rPr>
      </w:pPr>
      <w:r>
        <w:rPr>
          <w:rFonts w:hint="default" w:ascii="Times New Roman" w:hAnsi="Times New Roman" w:eastAsia="仿宋_GB2312" w:cs="仿宋_GB2312"/>
          <w:color w:val="000000"/>
          <w:sz w:val="32"/>
          <w:szCs w:val="32"/>
          <w:lang w:eastAsia="zh-CN"/>
        </w:rPr>
        <w:t>——效率变革：</w:t>
      </w:r>
      <w:r>
        <w:rPr>
          <w:rFonts w:hint="eastAsia" w:ascii="Times New Roman" w:hAnsi="Times New Roman" w:eastAsia="仿宋_GB2312" w:cs="仿宋_GB2312"/>
          <w:color w:val="000000"/>
          <w:sz w:val="32"/>
          <w:szCs w:val="32"/>
          <w:lang w:val="en-US" w:eastAsia="zh-CN"/>
        </w:rPr>
        <w:t>组织</w:t>
      </w:r>
      <w:r>
        <w:rPr>
          <w:rFonts w:hint="default" w:ascii="Times New Roman" w:hAnsi="Times New Roman" w:eastAsia="仿宋_GB2312" w:cs="仿宋_GB2312"/>
          <w:color w:val="000000"/>
          <w:sz w:val="32"/>
          <w:szCs w:val="32"/>
          <w:lang w:eastAsia="zh-CN"/>
        </w:rPr>
        <w:t>运行效率和生产组织效率</w:t>
      </w:r>
      <w:r>
        <w:rPr>
          <w:rFonts w:hint="eastAsia" w:ascii="Times New Roman" w:hAnsi="Times New Roman" w:eastAsia="仿宋_GB2312" w:cs="仿宋_GB2312"/>
          <w:color w:val="000000"/>
          <w:sz w:val="32"/>
          <w:szCs w:val="32"/>
          <w:lang w:val="en-US" w:eastAsia="zh-CN"/>
        </w:rPr>
        <w:t>情况，如</w:t>
      </w:r>
      <w:r>
        <w:rPr>
          <w:rFonts w:hint="default" w:ascii="Times New Roman" w:hAnsi="Times New Roman" w:eastAsia="仿宋_GB2312" w:cs="仿宋_GB2312"/>
          <w:color w:val="000000"/>
          <w:sz w:val="32"/>
          <w:szCs w:val="32"/>
          <w:lang w:val="en-US" w:eastAsia="zh-CN"/>
        </w:rPr>
        <w:t>近三年全员劳动生产率处于同行业领先。</w:t>
      </w:r>
    </w:p>
    <w:p>
      <w:pPr>
        <w:widowControl w:val="0"/>
        <w:pBdr>
          <w:top w:val="none" w:color="auto" w:sz="0" w:space="0"/>
          <w:left w:val="none" w:color="auto" w:sz="0" w:space="0"/>
          <w:bottom w:val="none" w:color="auto" w:sz="0" w:space="0"/>
          <w:right w:val="none" w:color="auto" w:sz="0" w:space="0"/>
        </w:pBdr>
        <w:wordWrap/>
        <w:adjustRightInd/>
        <w:snapToGrid/>
        <w:spacing w:line="600" w:lineRule="exact"/>
        <w:ind w:left="0" w:leftChars="0" w:firstLine="640" w:firstLineChars="200"/>
        <w:textAlignment w:val="auto"/>
        <w:outlineLvl w:val="9"/>
        <w:rPr>
          <w:rFonts w:hint="default" w:ascii="Times New Roman" w:hAnsi="Times New Roman" w:eastAsia="仿宋_GB2312" w:cs="仿宋_GB2312"/>
          <w:color w:val="000000"/>
          <w:sz w:val="32"/>
          <w:szCs w:val="32"/>
          <w:lang w:eastAsia="zh-CN"/>
        </w:rPr>
      </w:pPr>
      <w:r>
        <w:rPr>
          <w:rFonts w:hint="default" w:ascii="Times New Roman" w:hAnsi="Times New Roman" w:eastAsia="仿宋_GB2312" w:cs="仿宋_GB2312"/>
          <w:color w:val="000000"/>
          <w:sz w:val="32"/>
          <w:szCs w:val="32"/>
          <w:lang w:eastAsia="zh-CN"/>
        </w:rPr>
        <w:t>——</w:t>
      </w:r>
      <w:r>
        <w:rPr>
          <w:rFonts w:hint="default" w:ascii="Times New Roman" w:hAnsi="Times New Roman" w:eastAsia="仿宋_GB2312" w:cs="仿宋_GB2312"/>
          <w:color w:val="000000"/>
          <w:sz w:val="32"/>
          <w:szCs w:val="32"/>
        </w:rPr>
        <w:t>经济效益</w:t>
      </w:r>
      <w:r>
        <w:rPr>
          <w:rFonts w:hint="default" w:ascii="Times New Roman" w:hAnsi="Times New Roman" w:eastAsia="仿宋_GB2312" w:cs="仿宋_GB2312"/>
          <w:color w:val="000000"/>
          <w:sz w:val="32"/>
          <w:szCs w:val="32"/>
          <w:lang w:eastAsia="zh-CN"/>
        </w:rPr>
        <w:t>：</w:t>
      </w:r>
      <w:r>
        <w:rPr>
          <w:rFonts w:hint="default" w:ascii="Times New Roman" w:hAnsi="Times New Roman" w:eastAsia="仿宋_GB2312" w:cs="仿宋_GB2312"/>
          <w:color w:val="000000"/>
          <w:sz w:val="32"/>
          <w:szCs w:val="32"/>
          <w:lang w:val="en-US" w:eastAsia="zh-CN"/>
        </w:rPr>
        <w:t>近三年主营业务收入、投资收益、利润总额、纳税总额等关键经济指标水平及其趋势处于同行业领先。</w:t>
      </w:r>
    </w:p>
    <w:p>
      <w:pPr>
        <w:widowControl w:val="0"/>
        <w:pBdr>
          <w:top w:val="none" w:color="auto" w:sz="0" w:space="0"/>
          <w:left w:val="none" w:color="auto" w:sz="0" w:space="0"/>
          <w:bottom w:val="none" w:color="auto" w:sz="0" w:space="0"/>
          <w:right w:val="none" w:color="auto" w:sz="0" w:space="0"/>
        </w:pBdr>
        <w:wordWrap/>
        <w:adjustRightInd/>
        <w:snapToGrid/>
        <w:spacing w:line="600" w:lineRule="exact"/>
        <w:ind w:left="0" w:leftChars="0" w:firstLine="640" w:firstLineChars="200"/>
        <w:textAlignment w:val="auto"/>
        <w:outlineLvl w:val="9"/>
        <w:rPr>
          <w:rFonts w:hint="default" w:ascii="Times New Roman" w:hAnsi="Times New Roman" w:eastAsia="仿宋_GB2312" w:cs="仿宋_GB2312"/>
          <w:color w:val="000000"/>
          <w:sz w:val="32"/>
          <w:szCs w:val="32"/>
        </w:rPr>
      </w:pPr>
      <w:r>
        <w:rPr>
          <w:rFonts w:hint="default" w:ascii="Times New Roman" w:hAnsi="Times New Roman" w:eastAsia="仿宋_GB2312" w:cs="仿宋_GB2312"/>
          <w:color w:val="000000"/>
          <w:sz w:val="32"/>
          <w:szCs w:val="32"/>
          <w:lang w:eastAsia="zh-CN"/>
        </w:rPr>
        <w:t>——</w:t>
      </w:r>
      <w:r>
        <w:rPr>
          <w:rFonts w:hint="default" w:ascii="Times New Roman" w:hAnsi="Times New Roman" w:eastAsia="仿宋_GB2312" w:cs="仿宋_GB2312"/>
          <w:color w:val="000000"/>
          <w:sz w:val="32"/>
          <w:szCs w:val="32"/>
        </w:rPr>
        <w:t>社会效益</w:t>
      </w:r>
      <w:r>
        <w:rPr>
          <w:rFonts w:hint="default" w:ascii="Times New Roman" w:hAnsi="Times New Roman" w:eastAsia="仿宋_GB2312" w:cs="仿宋_GB2312"/>
          <w:color w:val="000000"/>
          <w:sz w:val="32"/>
          <w:szCs w:val="32"/>
          <w:lang w:eastAsia="zh-CN"/>
        </w:rPr>
        <w:t>：</w:t>
      </w:r>
      <w:r>
        <w:rPr>
          <w:rFonts w:hint="default" w:ascii="Times New Roman" w:hAnsi="Times New Roman" w:eastAsia="仿宋_GB2312" w:cs="仿宋_GB2312"/>
          <w:color w:val="000000"/>
          <w:sz w:val="32"/>
          <w:szCs w:val="32"/>
          <w:lang w:val="en-US" w:eastAsia="zh-CN"/>
        </w:rPr>
        <w:t>全面履行社会责任，行业引领、区域带动作用显著</w:t>
      </w:r>
      <w:r>
        <w:rPr>
          <w:rFonts w:hint="default" w:ascii="Times New Roman" w:hAnsi="Times New Roman" w:eastAsia="仿宋_GB2312" w:cs="仿宋_GB2312"/>
          <w:color w:val="000000"/>
          <w:sz w:val="32"/>
          <w:szCs w:val="32"/>
        </w:rPr>
        <w:t>。</w:t>
      </w:r>
    </w:p>
    <w:p>
      <w:pPr>
        <w:widowControl w:val="0"/>
        <w:pBdr>
          <w:top w:val="none" w:color="auto" w:sz="0" w:space="0"/>
          <w:left w:val="none" w:color="auto" w:sz="0" w:space="0"/>
          <w:bottom w:val="none" w:color="auto" w:sz="0" w:space="0"/>
          <w:right w:val="none" w:color="auto" w:sz="0" w:space="0"/>
        </w:pBdr>
        <w:wordWrap/>
        <w:adjustRightInd/>
        <w:snapToGrid/>
        <w:spacing w:line="600" w:lineRule="exact"/>
        <w:ind w:left="0" w:leftChars="0" w:firstLine="640" w:firstLineChars="200"/>
        <w:textAlignment w:val="auto"/>
        <w:outlineLvl w:val="9"/>
        <w:rPr>
          <w:rFonts w:hint="eastAsia" w:ascii="Times New Roman" w:hAnsi="Times New Roman" w:eastAsia="黑体" w:cs="黑体"/>
          <w:color w:val="000000"/>
          <w:sz w:val="32"/>
          <w:szCs w:val="32"/>
        </w:rPr>
      </w:pPr>
      <w:r>
        <w:rPr>
          <w:rFonts w:hint="eastAsia" w:ascii="Times New Roman" w:hAnsi="Times New Roman" w:eastAsia="黑体" w:cs="黑体"/>
          <w:color w:val="000000"/>
          <w:sz w:val="32"/>
          <w:szCs w:val="32"/>
        </w:rPr>
        <w:t>三、否决事项</w:t>
      </w:r>
    </w:p>
    <w:p>
      <w:pPr>
        <w:widowControl w:val="0"/>
        <w:pBdr>
          <w:top w:val="none" w:color="auto" w:sz="0" w:space="0"/>
          <w:left w:val="none" w:color="auto" w:sz="0" w:space="0"/>
          <w:bottom w:val="none" w:color="auto" w:sz="0" w:space="0"/>
          <w:right w:val="none" w:color="auto" w:sz="0" w:space="0"/>
        </w:pBdr>
        <w:wordWrap/>
        <w:adjustRightInd/>
        <w:snapToGrid/>
        <w:spacing w:line="600" w:lineRule="exact"/>
        <w:ind w:left="0" w:leftChars="0" w:firstLine="640" w:firstLineChars="200"/>
        <w:textAlignment w:val="auto"/>
        <w:outlineLvl w:val="9"/>
        <w:rPr>
          <w:rFonts w:hint="eastAsia" w:ascii="Times New Roman" w:hAnsi="Times New Roman" w:eastAsia="仿宋_GB2312" w:cs="仿宋_GB2312"/>
          <w:color w:val="000000"/>
          <w:sz w:val="32"/>
          <w:szCs w:val="32"/>
        </w:rPr>
      </w:pPr>
      <w:r>
        <w:rPr>
          <w:rFonts w:hint="eastAsia" w:ascii="Times New Roman" w:hAnsi="Times New Roman" w:eastAsia="仿宋_GB2312" w:cs="仿宋_GB2312"/>
          <w:color w:val="000000"/>
          <w:sz w:val="32"/>
          <w:szCs w:val="32"/>
          <w:lang w:eastAsia="zh-CN"/>
        </w:rPr>
        <w:t>（一）</w:t>
      </w:r>
      <w:r>
        <w:rPr>
          <w:rFonts w:hint="eastAsia" w:ascii="Times New Roman" w:hAnsi="Times New Roman" w:eastAsia="仿宋_GB2312" w:cs="仿宋_GB2312"/>
          <w:color w:val="000000"/>
          <w:sz w:val="32"/>
          <w:szCs w:val="32"/>
        </w:rPr>
        <w:t>近</w:t>
      </w:r>
      <w:r>
        <w:rPr>
          <w:rFonts w:hint="eastAsia" w:ascii="Times New Roman" w:hAnsi="Times New Roman" w:eastAsia="仿宋_GB2312" w:cs="仿宋_GB2312"/>
          <w:color w:val="000000"/>
          <w:sz w:val="32"/>
          <w:szCs w:val="32"/>
          <w:lang w:val="en-US" w:eastAsia="zh-CN"/>
        </w:rPr>
        <w:t>三</w:t>
      </w:r>
      <w:r>
        <w:rPr>
          <w:rFonts w:hint="eastAsia" w:ascii="Times New Roman" w:hAnsi="Times New Roman" w:eastAsia="仿宋_GB2312" w:cs="仿宋_GB2312"/>
          <w:color w:val="000000"/>
          <w:sz w:val="32"/>
          <w:szCs w:val="32"/>
        </w:rPr>
        <w:t>年内出现过重大质量、安全、环保等事故，出现过相关违法、违规、违纪行为。</w:t>
      </w:r>
    </w:p>
    <w:p>
      <w:pPr>
        <w:widowControl w:val="0"/>
        <w:pBdr>
          <w:top w:val="none" w:color="auto" w:sz="0" w:space="0"/>
          <w:left w:val="none" w:color="auto" w:sz="0" w:space="0"/>
          <w:bottom w:val="none" w:color="auto" w:sz="0" w:space="0"/>
          <w:right w:val="none" w:color="auto" w:sz="0" w:space="0"/>
        </w:pBdr>
        <w:wordWrap/>
        <w:adjustRightInd/>
        <w:snapToGrid/>
        <w:spacing w:line="600" w:lineRule="exact"/>
        <w:ind w:left="0" w:leftChars="0" w:firstLine="640" w:firstLineChars="200"/>
        <w:textAlignment w:val="auto"/>
        <w:outlineLvl w:val="9"/>
        <w:rPr>
          <w:rFonts w:hint="eastAsia" w:ascii="Times New Roman" w:hAnsi="Times New Roman" w:eastAsia="仿宋_GB2312" w:cs="仿宋_GB2312"/>
          <w:color w:val="000000"/>
          <w:sz w:val="32"/>
          <w:szCs w:val="32"/>
        </w:rPr>
      </w:pPr>
      <w:r>
        <w:rPr>
          <w:rFonts w:hint="eastAsia" w:ascii="Times New Roman" w:hAnsi="Times New Roman" w:eastAsia="仿宋_GB2312" w:cs="仿宋_GB2312"/>
          <w:color w:val="000000"/>
          <w:sz w:val="32"/>
          <w:szCs w:val="32"/>
          <w:lang w:eastAsia="zh-CN"/>
        </w:rPr>
        <w:t>（二）</w:t>
      </w:r>
      <w:r>
        <w:rPr>
          <w:rFonts w:hint="eastAsia" w:ascii="Times New Roman" w:hAnsi="Times New Roman" w:eastAsia="仿宋_GB2312" w:cs="仿宋_GB2312"/>
          <w:color w:val="000000"/>
          <w:sz w:val="32"/>
          <w:szCs w:val="32"/>
        </w:rPr>
        <w:t>近</w:t>
      </w:r>
      <w:r>
        <w:rPr>
          <w:rFonts w:hint="eastAsia" w:ascii="Times New Roman" w:hAnsi="Times New Roman" w:eastAsia="仿宋_GB2312" w:cs="仿宋_GB2312"/>
          <w:color w:val="000000"/>
          <w:sz w:val="32"/>
          <w:szCs w:val="32"/>
          <w:lang w:val="en-US" w:eastAsia="zh-CN"/>
        </w:rPr>
        <w:t>三</w:t>
      </w:r>
      <w:r>
        <w:rPr>
          <w:rFonts w:hint="eastAsia" w:ascii="Times New Roman" w:hAnsi="Times New Roman" w:eastAsia="仿宋_GB2312" w:cs="仿宋_GB2312"/>
          <w:color w:val="000000"/>
          <w:sz w:val="32"/>
          <w:szCs w:val="32"/>
        </w:rPr>
        <w:t>年内发生过因单位责任导致侵害职工合法权益的重大事件。</w:t>
      </w:r>
    </w:p>
    <w:p>
      <w:pPr>
        <w:widowControl w:val="0"/>
        <w:pBdr>
          <w:top w:val="none" w:color="auto" w:sz="0" w:space="0"/>
          <w:left w:val="none" w:color="auto" w:sz="0" w:space="0"/>
          <w:bottom w:val="none" w:color="auto" w:sz="0" w:space="0"/>
          <w:right w:val="none" w:color="auto" w:sz="0" w:space="0"/>
        </w:pBdr>
        <w:wordWrap/>
        <w:adjustRightInd/>
        <w:snapToGrid/>
        <w:spacing w:line="600" w:lineRule="exact"/>
        <w:ind w:left="0" w:leftChars="0" w:firstLine="640" w:firstLineChars="200"/>
        <w:textAlignment w:val="auto"/>
        <w:outlineLvl w:val="9"/>
        <w:rPr>
          <w:rFonts w:hint="eastAsia" w:ascii="Times New Roman" w:hAnsi="Times New Roman" w:eastAsia="仿宋_GB2312" w:cs="仿宋_GB2312"/>
          <w:color w:val="000000"/>
          <w:sz w:val="32"/>
          <w:szCs w:val="32"/>
        </w:rPr>
      </w:pPr>
      <w:r>
        <w:rPr>
          <w:rFonts w:hint="eastAsia" w:ascii="Times New Roman" w:hAnsi="Times New Roman" w:eastAsia="仿宋_GB2312" w:cs="仿宋_GB2312"/>
          <w:color w:val="000000"/>
          <w:sz w:val="32"/>
          <w:szCs w:val="32"/>
          <w:lang w:eastAsia="zh-CN"/>
        </w:rPr>
        <w:t>（三）</w:t>
      </w:r>
      <w:r>
        <w:rPr>
          <w:rFonts w:hint="eastAsia" w:ascii="Times New Roman" w:hAnsi="Times New Roman" w:eastAsia="仿宋_GB2312" w:cs="仿宋_GB2312"/>
          <w:color w:val="000000"/>
          <w:sz w:val="32"/>
          <w:szCs w:val="32"/>
        </w:rPr>
        <w:t>申报材料弄虚作假。</w:t>
      </w:r>
    </w:p>
    <w:p>
      <w:pPr>
        <w:widowControl w:val="0"/>
        <w:pBdr>
          <w:top w:val="none" w:color="auto" w:sz="0" w:space="0"/>
          <w:left w:val="none" w:color="auto" w:sz="0" w:space="0"/>
          <w:bottom w:val="none" w:color="auto" w:sz="0" w:space="0"/>
          <w:right w:val="none" w:color="auto" w:sz="0" w:space="0"/>
        </w:pBdr>
        <w:wordWrap/>
        <w:adjustRightInd/>
        <w:snapToGrid/>
        <w:spacing w:line="600" w:lineRule="exact"/>
        <w:ind w:left="0" w:leftChars="0" w:firstLine="640" w:firstLineChars="200"/>
        <w:textAlignment w:val="auto"/>
        <w:outlineLvl w:val="9"/>
        <w:rPr>
          <w:rFonts w:hint="eastAsia" w:ascii="Times New Roman" w:hAnsi="Times New Roman" w:eastAsia="仿宋_GB2312" w:cs="仿宋_GB2312"/>
          <w:color w:val="000000"/>
          <w:sz w:val="32"/>
          <w:szCs w:val="32"/>
        </w:rPr>
      </w:pPr>
    </w:p>
    <w:p>
      <w:pPr>
        <w:widowControl w:val="0"/>
        <w:pBdr>
          <w:top w:val="none" w:color="auto" w:sz="0" w:space="0"/>
          <w:left w:val="none" w:color="auto" w:sz="0" w:space="0"/>
          <w:bottom w:val="none" w:color="auto" w:sz="0" w:space="0"/>
          <w:right w:val="none" w:color="auto" w:sz="0" w:space="0"/>
        </w:pBdr>
        <w:wordWrap/>
        <w:adjustRightInd/>
        <w:snapToGrid/>
        <w:spacing w:line="600" w:lineRule="exact"/>
        <w:ind w:left="0" w:leftChars="0" w:firstLine="640" w:firstLineChars="200"/>
        <w:textAlignment w:val="auto"/>
        <w:outlineLvl w:val="9"/>
        <w:rPr>
          <w:rFonts w:hint="eastAsia" w:ascii="Times New Roman" w:hAnsi="Times New Roman" w:eastAsia="仿宋_GB2312" w:cs="仿宋_GB2312"/>
          <w:color w:val="000000"/>
          <w:sz w:val="32"/>
          <w:szCs w:val="32"/>
          <w:lang w:val="en-US" w:eastAsia="zh-CN"/>
        </w:rPr>
      </w:pPr>
      <w:r>
        <w:rPr>
          <w:rFonts w:hint="eastAsia" w:ascii="Times New Roman" w:hAnsi="Times New Roman" w:eastAsia="仿宋_GB2312" w:cs="仿宋_GB2312"/>
          <w:color w:val="000000"/>
          <w:sz w:val="32"/>
          <w:szCs w:val="32"/>
          <w:lang w:val="en-US" w:eastAsia="zh-CN"/>
        </w:rPr>
        <w:t>附件：1</w:t>
      </w:r>
      <w:r>
        <w:rPr>
          <w:rFonts w:hint="eastAsia" w:ascii="Times New Roman" w:hAnsi="Times New Roman" w:cs="仿宋_GB2312"/>
          <w:color w:val="000000"/>
          <w:sz w:val="32"/>
          <w:szCs w:val="32"/>
          <w:lang w:val="en-US" w:eastAsia="zh-CN"/>
        </w:rPr>
        <w:t>．</w:t>
      </w:r>
      <w:r>
        <w:rPr>
          <w:rFonts w:hint="eastAsia" w:ascii="Times New Roman" w:hAnsi="Times New Roman" w:eastAsia="仿宋_GB2312" w:cs="仿宋_GB2312"/>
          <w:color w:val="000000"/>
          <w:sz w:val="32"/>
          <w:szCs w:val="32"/>
          <w:lang w:val="en-US" w:eastAsia="zh-CN"/>
        </w:rPr>
        <w:t>广东省政府质量奖评分要点（制造业）</w:t>
      </w:r>
    </w:p>
    <w:p>
      <w:pPr>
        <w:widowControl w:val="0"/>
        <w:pBdr>
          <w:top w:val="none" w:color="auto" w:sz="0" w:space="0"/>
          <w:left w:val="none" w:color="auto" w:sz="0" w:space="0"/>
          <w:bottom w:val="none" w:color="auto" w:sz="0" w:space="0"/>
          <w:right w:val="none" w:color="auto" w:sz="0" w:space="0"/>
        </w:pBdr>
        <w:wordWrap/>
        <w:adjustRightInd/>
        <w:snapToGrid/>
        <w:spacing w:line="600" w:lineRule="exact"/>
        <w:ind w:left="0" w:leftChars="0" w:firstLine="640" w:firstLineChars="200"/>
        <w:textAlignment w:val="auto"/>
        <w:outlineLvl w:val="9"/>
        <w:rPr>
          <w:rFonts w:hint="eastAsia" w:ascii="Times New Roman" w:hAnsi="Times New Roman" w:eastAsia="仿宋_GB2312" w:cs="仿宋_GB2312"/>
          <w:color w:val="000000"/>
          <w:sz w:val="32"/>
          <w:szCs w:val="32"/>
          <w:lang w:val="en-US" w:eastAsia="zh-CN"/>
        </w:rPr>
      </w:pPr>
      <w:r>
        <w:rPr>
          <w:rFonts w:hint="eastAsia" w:ascii="Times New Roman" w:hAnsi="Times New Roman" w:eastAsia="仿宋_GB2312" w:cs="仿宋_GB2312"/>
          <w:color w:val="000000"/>
          <w:sz w:val="32"/>
          <w:szCs w:val="32"/>
          <w:lang w:val="en-US" w:eastAsia="zh-CN"/>
        </w:rPr>
        <w:t xml:space="preserve">      2</w:t>
      </w:r>
      <w:r>
        <w:rPr>
          <w:rFonts w:hint="eastAsia" w:ascii="Times New Roman" w:hAnsi="Times New Roman" w:cs="仿宋_GB2312"/>
          <w:color w:val="000000"/>
          <w:sz w:val="32"/>
          <w:szCs w:val="32"/>
          <w:lang w:val="en-US" w:eastAsia="zh-CN"/>
        </w:rPr>
        <w:t>．</w:t>
      </w:r>
      <w:r>
        <w:rPr>
          <w:rFonts w:hint="eastAsia" w:ascii="Times New Roman" w:hAnsi="Times New Roman" w:eastAsia="仿宋_GB2312" w:cs="仿宋_GB2312"/>
          <w:color w:val="000000"/>
          <w:sz w:val="32"/>
          <w:szCs w:val="32"/>
          <w:lang w:val="en-US" w:eastAsia="zh-CN"/>
        </w:rPr>
        <w:t>广东省政府质量奖评分要点（服务业）</w:t>
      </w:r>
    </w:p>
    <w:p>
      <w:pPr>
        <w:widowControl w:val="0"/>
        <w:pBdr>
          <w:top w:val="none" w:color="auto" w:sz="0" w:space="0"/>
          <w:left w:val="none" w:color="auto" w:sz="0" w:space="0"/>
          <w:bottom w:val="none" w:color="auto" w:sz="0" w:space="0"/>
          <w:right w:val="none" w:color="auto" w:sz="0" w:space="0"/>
        </w:pBdr>
        <w:wordWrap/>
        <w:adjustRightInd/>
        <w:snapToGrid/>
        <w:spacing w:line="600" w:lineRule="exact"/>
        <w:ind w:left="0" w:leftChars="0" w:firstLine="640" w:firstLineChars="200"/>
        <w:textAlignment w:val="auto"/>
        <w:outlineLvl w:val="9"/>
        <w:rPr>
          <w:rFonts w:hint="eastAsia" w:ascii="Times New Roman" w:hAnsi="Times New Roman" w:eastAsia="仿宋_GB2312" w:cs="仿宋_GB2312"/>
          <w:color w:val="000000"/>
          <w:sz w:val="32"/>
          <w:szCs w:val="32"/>
          <w:lang w:val="en-US" w:eastAsia="zh-CN"/>
        </w:rPr>
      </w:pPr>
      <w:r>
        <w:rPr>
          <w:rFonts w:hint="eastAsia" w:ascii="Times New Roman" w:hAnsi="Times New Roman" w:eastAsia="仿宋_GB2312" w:cs="仿宋_GB2312"/>
          <w:color w:val="000000"/>
          <w:sz w:val="32"/>
          <w:szCs w:val="32"/>
          <w:lang w:val="en-US" w:eastAsia="zh-CN"/>
        </w:rPr>
        <w:t xml:space="preserve">      3</w:t>
      </w:r>
      <w:r>
        <w:rPr>
          <w:rFonts w:hint="eastAsia" w:ascii="Times New Roman" w:hAnsi="Times New Roman" w:cs="仿宋_GB2312"/>
          <w:color w:val="000000"/>
          <w:sz w:val="32"/>
          <w:szCs w:val="32"/>
          <w:lang w:val="en-US" w:eastAsia="zh-CN"/>
        </w:rPr>
        <w:t>．</w:t>
      </w:r>
      <w:r>
        <w:rPr>
          <w:rFonts w:hint="eastAsia" w:ascii="Times New Roman" w:hAnsi="Times New Roman" w:eastAsia="仿宋_GB2312" w:cs="仿宋_GB2312"/>
          <w:color w:val="000000"/>
          <w:sz w:val="32"/>
          <w:szCs w:val="32"/>
          <w:lang w:val="en-US" w:eastAsia="zh-CN"/>
        </w:rPr>
        <w:t>广东省政府质量奖评分要点（工程建设业）</w:t>
      </w:r>
    </w:p>
    <w:p>
      <w:pPr>
        <w:widowControl w:val="0"/>
        <w:pBdr>
          <w:top w:val="none" w:color="auto" w:sz="0" w:space="0"/>
          <w:left w:val="none" w:color="auto" w:sz="0" w:space="0"/>
          <w:bottom w:val="none" w:color="auto" w:sz="0" w:space="0"/>
          <w:right w:val="none" w:color="auto" w:sz="0" w:space="0"/>
        </w:pBdr>
        <w:wordWrap/>
        <w:adjustRightInd/>
        <w:snapToGrid/>
        <w:spacing w:line="600" w:lineRule="exact"/>
        <w:ind w:left="0" w:leftChars="0" w:firstLine="640" w:firstLineChars="200"/>
        <w:textAlignment w:val="auto"/>
        <w:outlineLvl w:val="9"/>
        <w:rPr>
          <w:rFonts w:hint="eastAsia" w:ascii="Times New Roman" w:hAnsi="Times New Roman" w:eastAsia="仿宋_GB2312" w:cs="仿宋_GB2312"/>
          <w:color w:val="000000"/>
          <w:sz w:val="32"/>
          <w:szCs w:val="32"/>
          <w:lang w:val="en-US" w:eastAsia="zh-CN"/>
        </w:rPr>
      </w:pPr>
      <w:r>
        <w:rPr>
          <w:rFonts w:hint="eastAsia" w:ascii="Times New Roman" w:hAnsi="Times New Roman" w:eastAsia="仿宋_GB2312" w:cs="仿宋_GB2312"/>
          <w:color w:val="000000"/>
          <w:sz w:val="32"/>
          <w:szCs w:val="32"/>
          <w:lang w:val="en-US" w:eastAsia="zh-CN"/>
        </w:rPr>
        <w:t xml:space="preserve">      4</w:t>
      </w:r>
      <w:r>
        <w:rPr>
          <w:rFonts w:hint="eastAsia" w:ascii="Times New Roman" w:hAnsi="Times New Roman" w:cs="仿宋_GB2312"/>
          <w:color w:val="000000"/>
          <w:sz w:val="32"/>
          <w:szCs w:val="32"/>
          <w:lang w:val="en-US" w:eastAsia="zh-CN"/>
        </w:rPr>
        <w:t>．</w:t>
      </w:r>
      <w:r>
        <w:rPr>
          <w:rFonts w:hint="eastAsia" w:ascii="Times New Roman" w:hAnsi="Times New Roman" w:eastAsia="仿宋_GB2312" w:cs="仿宋_GB2312"/>
          <w:color w:val="000000"/>
          <w:sz w:val="32"/>
          <w:szCs w:val="32"/>
          <w:lang w:val="en-US" w:eastAsia="zh-CN"/>
        </w:rPr>
        <w:t>广东省政府质量奖评分要点（医疗机构）</w:t>
      </w:r>
    </w:p>
    <w:p>
      <w:pPr>
        <w:widowControl w:val="0"/>
        <w:pBdr>
          <w:top w:val="none" w:color="auto" w:sz="0" w:space="0"/>
          <w:left w:val="none" w:color="auto" w:sz="0" w:space="0"/>
          <w:bottom w:val="none" w:color="auto" w:sz="0" w:space="0"/>
          <w:right w:val="none" w:color="auto" w:sz="0" w:space="0"/>
        </w:pBdr>
        <w:wordWrap/>
        <w:adjustRightInd/>
        <w:snapToGrid/>
        <w:spacing w:line="600" w:lineRule="exact"/>
        <w:ind w:left="0" w:leftChars="0" w:firstLine="640" w:firstLineChars="200"/>
        <w:textAlignment w:val="auto"/>
        <w:outlineLvl w:val="9"/>
        <w:rPr>
          <w:rFonts w:hint="eastAsia" w:ascii="Times New Roman" w:hAnsi="Times New Roman" w:eastAsia="仿宋_GB2312" w:cs="仿宋_GB2312"/>
          <w:color w:val="000000"/>
          <w:sz w:val="32"/>
          <w:szCs w:val="32"/>
          <w:lang w:val="en-US" w:eastAsia="zh-CN"/>
        </w:rPr>
      </w:pPr>
      <w:r>
        <w:rPr>
          <w:rFonts w:hint="eastAsia" w:ascii="Times New Roman" w:hAnsi="Times New Roman" w:eastAsia="仿宋_GB2312" w:cs="仿宋_GB2312"/>
          <w:color w:val="000000"/>
          <w:sz w:val="32"/>
          <w:szCs w:val="32"/>
          <w:lang w:val="en-US" w:eastAsia="zh-CN"/>
        </w:rPr>
        <w:t xml:space="preserve">      5</w:t>
      </w:r>
      <w:r>
        <w:rPr>
          <w:rFonts w:hint="eastAsia" w:ascii="Times New Roman" w:hAnsi="Times New Roman" w:cs="仿宋_GB2312"/>
          <w:color w:val="000000"/>
          <w:sz w:val="32"/>
          <w:szCs w:val="32"/>
          <w:lang w:val="en-US" w:eastAsia="zh-CN"/>
        </w:rPr>
        <w:t>．</w:t>
      </w:r>
      <w:r>
        <w:rPr>
          <w:rFonts w:hint="eastAsia" w:ascii="Times New Roman" w:hAnsi="Times New Roman" w:eastAsia="仿宋_GB2312" w:cs="仿宋_GB2312"/>
          <w:color w:val="000000"/>
          <w:sz w:val="32"/>
          <w:szCs w:val="32"/>
          <w:lang w:val="en-US" w:eastAsia="zh-CN"/>
        </w:rPr>
        <w:t>广东省政府质量奖评分要点（教育机构）</w:t>
      </w:r>
    </w:p>
    <w:p>
      <w:pPr>
        <w:widowControl w:val="0"/>
        <w:pBdr>
          <w:top w:val="none" w:color="auto" w:sz="0" w:space="0"/>
          <w:left w:val="none" w:color="auto" w:sz="0" w:space="0"/>
          <w:bottom w:val="none" w:color="auto" w:sz="0" w:space="0"/>
          <w:right w:val="none" w:color="auto" w:sz="0" w:space="0"/>
        </w:pBdr>
        <w:wordWrap/>
        <w:adjustRightInd/>
        <w:snapToGrid/>
        <w:spacing w:line="600" w:lineRule="exact"/>
        <w:ind w:left="0" w:leftChars="0" w:firstLine="640" w:firstLineChars="200"/>
        <w:textAlignment w:val="auto"/>
        <w:outlineLvl w:val="9"/>
        <w:rPr>
          <w:rFonts w:hint="eastAsia" w:ascii="Times New Roman" w:hAnsi="Times New Roman" w:eastAsia="仿宋_GB2312" w:cs="仿宋_GB2312"/>
          <w:color w:val="000000"/>
          <w:sz w:val="32"/>
          <w:szCs w:val="32"/>
          <w:lang w:val="en-US" w:eastAsia="zh-CN"/>
        </w:rPr>
      </w:pPr>
      <w:r>
        <w:rPr>
          <w:rFonts w:hint="eastAsia" w:ascii="Times New Roman" w:hAnsi="Times New Roman" w:eastAsia="仿宋_GB2312" w:cs="仿宋_GB2312"/>
          <w:color w:val="000000"/>
          <w:sz w:val="32"/>
          <w:szCs w:val="32"/>
          <w:lang w:val="en-US" w:eastAsia="zh-CN"/>
        </w:rPr>
        <w:t xml:space="preserve">      </w:t>
      </w:r>
      <w:r>
        <w:rPr>
          <w:rFonts w:hint="eastAsia" w:ascii="Times New Roman" w:hAnsi="Times New Roman" w:cs="仿宋_GB2312"/>
          <w:color w:val="000000"/>
          <w:sz w:val="32"/>
          <w:szCs w:val="32"/>
          <w:lang w:val="en-US" w:eastAsia="zh-CN"/>
        </w:rPr>
        <w:t>6．</w:t>
      </w:r>
      <w:r>
        <w:rPr>
          <w:rFonts w:hint="eastAsia" w:ascii="Times New Roman" w:hAnsi="Times New Roman" w:eastAsia="仿宋_GB2312" w:cs="仿宋_GB2312"/>
          <w:color w:val="000000"/>
          <w:sz w:val="32"/>
          <w:szCs w:val="32"/>
          <w:lang w:val="en-US" w:eastAsia="zh-CN"/>
        </w:rPr>
        <w:t>广东省政府质量奖评分要点（一线班组）</w:t>
      </w:r>
    </w:p>
    <w:p>
      <w:pPr>
        <w:widowControl w:val="0"/>
        <w:pBdr>
          <w:top w:val="none" w:color="auto" w:sz="0" w:space="0"/>
          <w:left w:val="none" w:color="auto" w:sz="0" w:space="0"/>
          <w:bottom w:val="none" w:color="auto" w:sz="0" w:space="0"/>
          <w:right w:val="none" w:color="auto" w:sz="0" w:space="0"/>
        </w:pBdr>
        <w:wordWrap/>
        <w:adjustRightInd/>
        <w:snapToGrid/>
        <w:spacing w:line="600" w:lineRule="exact"/>
        <w:ind w:left="0" w:leftChars="0" w:firstLine="640" w:firstLineChars="200"/>
        <w:textAlignment w:val="auto"/>
        <w:outlineLvl w:val="9"/>
        <w:rPr>
          <w:rFonts w:hint="eastAsia" w:ascii="Times New Roman" w:hAnsi="Times New Roman" w:eastAsia="仿宋_GB2312" w:cs="仿宋_GB2312"/>
          <w:color w:val="000000"/>
          <w:sz w:val="32"/>
          <w:szCs w:val="32"/>
          <w:lang w:val="en-US" w:eastAsia="zh-CN"/>
        </w:rPr>
      </w:pPr>
      <w:r>
        <w:rPr>
          <w:rFonts w:hint="eastAsia" w:ascii="Times New Roman" w:hAnsi="Times New Roman" w:eastAsia="仿宋_GB2312" w:cs="仿宋_GB2312"/>
          <w:color w:val="000000"/>
          <w:sz w:val="32"/>
          <w:szCs w:val="32"/>
          <w:lang w:val="en-US" w:eastAsia="zh-CN"/>
        </w:rPr>
        <w:t xml:space="preserve">      </w:t>
      </w:r>
      <w:r>
        <w:rPr>
          <w:rFonts w:hint="eastAsia" w:ascii="Times New Roman" w:hAnsi="Times New Roman" w:cs="仿宋_GB2312"/>
          <w:color w:val="000000"/>
          <w:sz w:val="32"/>
          <w:szCs w:val="32"/>
          <w:lang w:val="en-US" w:eastAsia="zh-CN"/>
        </w:rPr>
        <w:t>7．</w:t>
      </w:r>
      <w:r>
        <w:rPr>
          <w:rFonts w:hint="eastAsia" w:ascii="Times New Roman" w:hAnsi="Times New Roman" w:eastAsia="仿宋_GB2312" w:cs="仿宋_GB2312"/>
          <w:color w:val="000000"/>
          <w:sz w:val="32"/>
          <w:szCs w:val="32"/>
          <w:lang w:val="en-US" w:eastAsia="zh-CN"/>
        </w:rPr>
        <w:t>广东省政府质量奖（组织）评分权重</w:t>
      </w:r>
    </w:p>
    <w:p>
      <w:pPr>
        <w:widowControl w:val="0"/>
        <w:wordWrap/>
        <w:adjustRightInd/>
        <w:snapToGrid/>
        <w:spacing w:line="640" w:lineRule="exact"/>
        <w:jc w:val="center"/>
        <w:textAlignment w:val="auto"/>
        <w:rPr>
          <w:rFonts w:hint="eastAsia" w:ascii="Times New Roman" w:hAnsi="Times New Roman" w:eastAsia="方正小标宋简体" w:cs="方正小标宋简体"/>
          <w:b w:val="0"/>
          <w:bCs w:val="0"/>
          <w:sz w:val="44"/>
          <w:szCs w:val="44"/>
        </w:rPr>
      </w:pPr>
    </w:p>
    <w:p>
      <w:pPr>
        <w:widowControl w:val="0"/>
        <w:wordWrap/>
        <w:adjustRightInd/>
        <w:snapToGrid/>
        <w:spacing w:line="640" w:lineRule="exact"/>
        <w:jc w:val="center"/>
        <w:textAlignment w:val="auto"/>
        <w:rPr>
          <w:rFonts w:hint="eastAsia" w:ascii="Times New Roman" w:hAnsi="Times New Roman" w:eastAsia="方正小标宋简体" w:cs="方正小标宋简体"/>
          <w:b w:val="0"/>
          <w:bCs w:val="0"/>
          <w:sz w:val="44"/>
          <w:szCs w:val="44"/>
        </w:rPr>
      </w:pPr>
    </w:p>
    <w:p>
      <w:pPr>
        <w:widowControl w:val="0"/>
        <w:wordWrap/>
        <w:adjustRightInd/>
        <w:snapToGrid/>
        <w:spacing w:line="640" w:lineRule="exact"/>
        <w:jc w:val="center"/>
        <w:textAlignment w:val="auto"/>
        <w:rPr>
          <w:rFonts w:hint="eastAsia" w:ascii="Times New Roman" w:hAnsi="Times New Roman" w:eastAsia="方正小标宋简体" w:cs="方正小标宋简体"/>
          <w:b w:val="0"/>
          <w:bCs w:val="0"/>
          <w:sz w:val="44"/>
          <w:szCs w:val="44"/>
        </w:rPr>
      </w:pPr>
    </w:p>
    <w:p>
      <w:pPr>
        <w:widowControl w:val="0"/>
        <w:wordWrap/>
        <w:adjustRightInd/>
        <w:snapToGrid/>
        <w:spacing w:line="640" w:lineRule="exact"/>
        <w:jc w:val="center"/>
        <w:textAlignment w:val="auto"/>
        <w:rPr>
          <w:rFonts w:hint="eastAsia" w:ascii="Times New Roman" w:hAnsi="Times New Roman" w:eastAsia="方正小标宋简体" w:cs="方正小标宋简体"/>
          <w:b w:val="0"/>
          <w:bCs w:val="0"/>
          <w:sz w:val="44"/>
          <w:szCs w:val="44"/>
        </w:rPr>
      </w:pPr>
    </w:p>
    <w:p>
      <w:pPr>
        <w:widowControl w:val="0"/>
        <w:wordWrap/>
        <w:adjustRightInd/>
        <w:snapToGrid/>
        <w:spacing w:line="640" w:lineRule="exact"/>
        <w:jc w:val="center"/>
        <w:textAlignment w:val="auto"/>
        <w:rPr>
          <w:rFonts w:hint="eastAsia" w:ascii="Times New Roman" w:hAnsi="Times New Roman" w:eastAsia="方正小标宋简体" w:cs="方正小标宋简体"/>
          <w:b w:val="0"/>
          <w:bCs w:val="0"/>
          <w:sz w:val="44"/>
          <w:szCs w:val="44"/>
        </w:rPr>
      </w:pPr>
    </w:p>
    <w:p>
      <w:pPr>
        <w:widowControl w:val="0"/>
        <w:wordWrap/>
        <w:adjustRightInd/>
        <w:snapToGrid/>
        <w:spacing w:line="640" w:lineRule="exact"/>
        <w:jc w:val="center"/>
        <w:textAlignment w:val="auto"/>
        <w:rPr>
          <w:rFonts w:hint="eastAsia" w:ascii="Times New Roman" w:hAnsi="Times New Roman" w:eastAsia="方正小标宋简体" w:cs="方正小标宋简体"/>
          <w:b w:val="0"/>
          <w:bCs w:val="0"/>
          <w:sz w:val="44"/>
          <w:szCs w:val="44"/>
        </w:rPr>
      </w:pPr>
    </w:p>
    <w:p>
      <w:pPr>
        <w:widowControl w:val="0"/>
        <w:wordWrap/>
        <w:adjustRightInd/>
        <w:snapToGrid/>
        <w:spacing w:line="640" w:lineRule="exact"/>
        <w:jc w:val="center"/>
        <w:textAlignment w:val="auto"/>
        <w:rPr>
          <w:rFonts w:hint="eastAsia" w:ascii="Times New Roman" w:hAnsi="Times New Roman" w:eastAsia="方正小标宋简体" w:cs="方正小标宋简体"/>
          <w:b w:val="0"/>
          <w:bCs w:val="0"/>
          <w:sz w:val="44"/>
          <w:szCs w:val="44"/>
        </w:rPr>
      </w:pPr>
    </w:p>
    <w:p>
      <w:pPr>
        <w:widowControl w:val="0"/>
        <w:wordWrap/>
        <w:adjustRightInd/>
        <w:snapToGrid/>
        <w:spacing w:line="640" w:lineRule="exact"/>
        <w:jc w:val="both"/>
        <w:textAlignment w:val="auto"/>
        <w:rPr>
          <w:rFonts w:hint="eastAsia" w:ascii="Times New Roman" w:hAnsi="Times New Roman" w:eastAsia="方正小标宋简体" w:cs="方正小标宋简体"/>
          <w:b w:val="0"/>
          <w:bCs w:val="0"/>
          <w:sz w:val="44"/>
          <w:szCs w:val="44"/>
        </w:rPr>
        <w:sectPr>
          <w:headerReference r:id="rId4" w:type="first"/>
          <w:footerReference r:id="rId7" w:type="first"/>
          <w:footerReference r:id="rId5" w:type="default"/>
          <w:headerReference r:id="rId3" w:type="even"/>
          <w:footerReference r:id="rId6" w:type="even"/>
          <w:pgSz w:w="11906" w:h="16838"/>
          <w:pgMar w:top="1246" w:right="1418" w:bottom="1663" w:left="1588" w:header="851" w:footer="1254" w:gutter="0"/>
          <w:pgNumType w:fmt="decimal"/>
          <w:cols w:space="720" w:num="1"/>
          <w:titlePg/>
          <w:docGrid w:type="lines" w:linePitch="312" w:charSpace="0"/>
        </w:sectPr>
      </w:pPr>
    </w:p>
    <w:p>
      <w:pPr>
        <w:widowControl w:val="0"/>
        <w:pBdr>
          <w:top w:val="none" w:color="auto" w:sz="0" w:space="0"/>
          <w:left w:val="none" w:color="auto" w:sz="0" w:space="0"/>
          <w:bottom w:val="none" w:color="auto" w:sz="0" w:space="0"/>
          <w:right w:val="none" w:color="auto" w:sz="0" w:space="0"/>
        </w:pBdr>
        <w:wordWrap/>
        <w:adjustRightInd/>
        <w:snapToGrid/>
        <w:spacing w:line="440" w:lineRule="exact"/>
        <w:textAlignment w:val="auto"/>
        <w:outlineLvl w:val="9"/>
        <w:rPr>
          <w:rFonts w:hint="default" w:ascii="Times New Roman" w:hAnsi="Times New Roman" w:eastAsia="宋体"/>
          <w:sz w:val="30"/>
          <w:szCs w:val="30"/>
          <w:lang w:val="en-US" w:eastAsia="zh-CN"/>
        </w:rPr>
      </w:pPr>
      <w:r>
        <w:rPr>
          <w:rFonts w:hint="eastAsia" w:ascii="Times New Roman" w:hAnsi="Times New Roman" w:eastAsia="黑体" w:cs="黑体"/>
          <w:b w:val="0"/>
          <w:bCs w:val="0"/>
          <w:sz w:val="32"/>
          <w:szCs w:val="32"/>
        </w:rPr>
        <w:t>附件</w:t>
      </w:r>
      <w:r>
        <w:rPr>
          <w:rFonts w:hint="eastAsia" w:ascii="Times New Roman" w:hAnsi="Times New Roman" w:eastAsia="黑体" w:cs="黑体"/>
          <w:b w:val="0"/>
          <w:bCs w:val="0"/>
          <w:sz w:val="32"/>
          <w:szCs w:val="32"/>
          <w:lang w:val="en-US" w:eastAsia="zh-CN"/>
        </w:rPr>
        <w:t>1</w:t>
      </w:r>
    </w:p>
    <w:p>
      <w:pPr>
        <w:widowControl w:val="0"/>
        <w:wordWrap/>
        <w:adjustRightInd/>
        <w:snapToGrid/>
        <w:spacing w:line="560" w:lineRule="exact"/>
        <w:jc w:val="center"/>
        <w:textAlignment w:val="auto"/>
        <w:rPr>
          <w:rFonts w:hint="eastAsia" w:ascii="Times New Roman" w:hAnsi="Times New Roman" w:eastAsia="方正小标宋简体" w:cs="方正小标宋简体"/>
          <w:spacing w:val="0"/>
          <w:w w:val="100"/>
          <w:sz w:val="44"/>
          <w:szCs w:val="44"/>
          <w:lang w:val="en-US" w:eastAsia="zh-CN"/>
        </w:rPr>
      </w:pPr>
      <w:r>
        <w:rPr>
          <w:rFonts w:hint="eastAsia" w:ascii="Times New Roman" w:hAnsi="Times New Roman" w:eastAsia="方正小标宋简体" w:cs="方正小标宋简体"/>
          <w:spacing w:val="0"/>
          <w:w w:val="100"/>
          <w:sz w:val="44"/>
          <w:szCs w:val="44"/>
          <w:lang w:val="en-US" w:eastAsia="zh-CN"/>
        </w:rPr>
        <w:t>广东省政府质量奖评分要点（制造业）</w:t>
      </w:r>
    </w:p>
    <w:tbl>
      <w:tblPr>
        <w:tblStyle w:val="9"/>
        <w:tblW w:w="149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8"/>
        <w:gridCol w:w="970"/>
        <w:gridCol w:w="1468"/>
        <w:gridCol w:w="10755"/>
        <w:gridCol w:w="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38" w:type="dxa"/>
            <w:vMerge w:val="restart"/>
            <w:vAlign w:val="center"/>
          </w:tcPr>
          <w:p>
            <w:pPr>
              <w:widowControl w:val="0"/>
              <w:wordWrap/>
              <w:adjustRightInd/>
              <w:snapToGrid/>
              <w:spacing w:line="320" w:lineRule="exact"/>
              <w:jc w:val="center"/>
              <w:textAlignment w:val="auto"/>
              <w:rPr>
                <w:rFonts w:hint="eastAsia" w:ascii="黑体" w:hAnsi="黑体" w:eastAsia="黑体" w:cs="黑体"/>
                <w:spacing w:val="0"/>
                <w:w w:val="100"/>
                <w:sz w:val="21"/>
                <w:szCs w:val="21"/>
              </w:rPr>
            </w:pPr>
            <w:r>
              <w:rPr>
                <w:rFonts w:hint="eastAsia" w:ascii="黑体" w:hAnsi="黑体" w:eastAsia="黑体" w:cs="黑体"/>
                <w:spacing w:val="0"/>
                <w:w w:val="100"/>
                <w:sz w:val="21"/>
                <w:szCs w:val="21"/>
                <w:lang w:val="en-US" w:eastAsia="zh-CN"/>
              </w:rPr>
              <w:t>序号</w:t>
            </w:r>
          </w:p>
        </w:tc>
        <w:tc>
          <w:tcPr>
            <w:tcW w:w="2438" w:type="dxa"/>
            <w:gridSpan w:val="2"/>
            <w:vAlign w:val="center"/>
          </w:tcPr>
          <w:p>
            <w:pPr>
              <w:widowControl w:val="0"/>
              <w:wordWrap/>
              <w:adjustRightInd/>
              <w:snapToGrid/>
              <w:spacing w:line="320" w:lineRule="exact"/>
              <w:jc w:val="center"/>
              <w:textAlignment w:val="auto"/>
              <w:rPr>
                <w:rFonts w:hint="eastAsia" w:ascii="黑体" w:hAnsi="黑体" w:eastAsia="黑体" w:cs="黑体"/>
                <w:spacing w:val="0"/>
                <w:w w:val="100"/>
                <w:sz w:val="21"/>
                <w:szCs w:val="21"/>
                <w:lang w:val="en-US" w:eastAsia="zh-CN"/>
              </w:rPr>
            </w:pPr>
            <w:r>
              <w:rPr>
                <w:rFonts w:hint="eastAsia" w:ascii="黑体" w:hAnsi="黑体" w:eastAsia="黑体" w:cs="黑体"/>
                <w:spacing w:val="0"/>
                <w:w w:val="100"/>
                <w:sz w:val="21"/>
                <w:szCs w:val="21"/>
                <w:lang w:val="en-US" w:eastAsia="zh-CN"/>
              </w:rPr>
              <w:t>评价指标</w:t>
            </w:r>
          </w:p>
        </w:tc>
        <w:tc>
          <w:tcPr>
            <w:tcW w:w="10755" w:type="dxa"/>
            <w:vMerge w:val="restart"/>
            <w:vAlign w:val="center"/>
          </w:tcPr>
          <w:p>
            <w:pPr>
              <w:widowControl w:val="0"/>
              <w:wordWrap/>
              <w:adjustRightInd/>
              <w:snapToGrid/>
              <w:spacing w:line="320" w:lineRule="exact"/>
              <w:jc w:val="center"/>
              <w:textAlignment w:val="auto"/>
              <w:rPr>
                <w:rFonts w:hint="eastAsia" w:ascii="黑体" w:hAnsi="黑体" w:eastAsia="黑体" w:cs="黑体"/>
                <w:spacing w:val="0"/>
                <w:w w:val="100"/>
                <w:sz w:val="21"/>
                <w:szCs w:val="21"/>
                <w:lang w:val="en-US" w:eastAsia="zh-CN"/>
              </w:rPr>
            </w:pPr>
            <w:r>
              <w:rPr>
                <w:rFonts w:hint="eastAsia" w:ascii="黑体" w:hAnsi="黑体" w:eastAsia="黑体" w:cs="黑体"/>
                <w:spacing w:val="0"/>
                <w:w w:val="100"/>
                <w:sz w:val="21"/>
                <w:szCs w:val="21"/>
                <w:lang w:val="en-US" w:eastAsia="zh-CN"/>
              </w:rPr>
              <w:t>评价要点</w:t>
            </w:r>
          </w:p>
        </w:tc>
        <w:tc>
          <w:tcPr>
            <w:tcW w:w="990" w:type="dxa"/>
            <w:vMerge w:val="restart"/>
            <w:vAlign w:val="center"/>
          </w:tcPr>
          <w:p>
            <w:pPr>
              <w:widowControl w:val="0"/>
              <w:wordWrap/>
              <w:adjustRightInd/>
              <w:snapToGrid/>
              <w:spacing w:line="320" w:lineRule="exact"/>
              <w:jc w:val="center"/>
              <w:textAlignment w:val="auto"/>
              <w:rPr>
                <w:rFonts w:hint="eastAsia" w:ascii="黑体" w:hAnsi="黑体" w:eastAsia="黑体" w:cs="黑体"/>
                <w:spacing w:val="0"/>
                <w:w w:val="100"/>
                <w:sz w:val="21"/>
                <w:szCs w:val="21"/>
                <w:lang w:val="en-US" w:eastAsia="zh-CN"/>
              </w:rPr>
            </w:pPr>
            <w:r>
              <w:rPr>
                <w:rFonts w:hint="eastAsia" w:ascii="黑体" w:hAnsi="黑体" w:eastAsia="黑体" w:cs="黑体"/>
                <w:spacing w:val="0"/>
                <w:w w:val="100"/>
                <w:sz w:val="21"/>
                <w:szCs w:val="21"/>
                <w:lang w:val="en-US" w:eastAsia="zh-CN"/>
              </w:rPr>
              <w:t>评分</w:t>
            </w:r>
          </w:p>
          <w:p>
            <w:pPr>
              <w:widowControl w:val="0"/>
              <w:wordWrap/>
              <w:adjustRightInd/>
              <w:snapToGrid/>
              <w:spacing w:line="320" w:lineRule="exact"/>
              <w:jc w:val="center"/>
              <w:textAlignment w:val="auto"/>
              <w:rPr>
                <w:rFonts w:hint="eastAsia" w:ascii="黑体" w:hAnsi="黑体" w:eastAsia="黑体" w:cs="黑体"/>
                <w:spacing w:val="0"/>
                <w:w w:val="100"/>
                <w:sz w:val="21"/>
                <w:szCs w:val="21"/>
                <w:lang w:val="en-US" w:eastAsia="zh-CN"/>
              </w:rPr>
            </w:pPr>
            <w:r>
              <w:rPr>
                <w:rFonts w:hint="eastAsia" w:ascii="黑体" w:hAnsi="黑体" w:eastAsia="黑体" w:cs="黑体"/>
                <w:spacing w:val="0"/>
                <w:w w:val="100"/>
                <w:sz w:val="21"/>
                <w:szCs w:val="21"/>
                <w:lang w:val="en-US" w:eastAsia="zh-CN"/>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38" w:type="dxa"/>
            <w:vMerge w:val="continue"/>
            <w:vAlign w:val="top"/>
          </w:tcPr>
          <w:p>
            <w:pPr>
              <w:widowControl w:val="0"/>
              <w:wordWrap/>
              <w:adjustRightInd/>
              <w:snapToGrid/>
              <w:spacing w:line="320" w:lineRule="exact"/>
              <w:jc w:val="center"/>
              <w:textAlignment w:val="auto"/>
              <w:rPr>
                <w:rFonts w:hint="eastAsia" w:ascii="黑体" w:hAnsi="黑体" w:eastAsia="黑体" w:cs="黑体"/>
                <w:spacing w:val="0"/>
                <w:w w:val="100"/>
                <w:sz w:val="21"/>
                <w:szCs w:val="21"/>
              </w:rPr>
            </w:pPr>
          </w:p>
        </w:tc>
        <w:tc>
          <w:tcPr>
            <w:tcW w:w="970" w:type="dxa"/>
            <w:vAlign w:val="center"/>
          </w:tcPr>
          <w:p>
            <w:pPr>
              <w:widowControl w:val="0"/>
              <w:wordWrap/>
              <w:adjustRightInd/>
              <w:snapToGrid/>
              <w:spacing w:line="320" w:lineRule="exact"/>
              <w:jc w:val="center"/>
              <w:textAlignment w:val="auto"/>
              <w:rPr>
                <w:rFonts w:hint="eastAsia" w:ascii="黑体" w:hAnsi="黑体" w:eastAsia="黑体" w:cs="黑体"/>
                <w:spacing w:val="0"/>
                <w:w w:val="100"/>
                <w:sz w:val="21"/>
                <w:szCs w:val="21"/>
                <w:lang w:val="en-US" w:eastAsia="zh-CN"/>
              </w:rPr>
            </w:pPr>
            <w:r>
              <w:rPr>
                <w:rFonts w:hint="eastAsia" w:ascii="黑体" w:hAnsi="黑体" w:eastAsia="黑体" w:cs="黑体"/>
                <w:spacing w:val="0"/>
                <w:w w:val="100"/>
                <w:sz w:val="21"/>
                <w:szCs w:val="21"/>
                <w:lang w:val="en-US" w:eastAsia="zh-CN"/>
              </w:rPr>
              <w:t>一级</w:t>
            </w:r>
          </w:p>
        </w:tc>
        <w:tc>
          <w:tcPr>
            <w:tcW w:w="1468" w:type="dxa"/>
            <w:vAlign w:val="center"/>
          </w:tcPr>
          <w:p>
            <w:pPr>
              <w:widowControl w:val="0"/>
              <w:wordWrap/>
              <w:adjustRightInd/>
              <w:snapToGrid/>
              <w:spacing w:line="320" w:lineRule="exact"/>
              <w:jc w:val="center"/>
              <w:textAlignment w:val="auto"/>
              <w:rPr>
                <w:rFonts w:hint="eastAsia" w:ascii="黑体" w:hAnsi="黑体" w:eastAsia="黑体" w:cs="黑体"/>
                <w:spacing w:val="0"/>
                <w:w w:val="100"/>
                <w:sz w:val="21"/>
                <w:szCs w:val="21"/>
                <w:lang w:val="en-US" w:eastAsia="zh-CN"/>
              </w:rPr>
            </w:pPr>
            <w:r>
              <w:rPr>
                <w:rFonts w:hint="eastAsia" w:ascii="黑体" w:hAnsi="黑体" w:eastAsia="黑体" w:cs="黑体"/>
                <w:spacing w:val="0"/>
                <w:w w:val="100"/>
                <w:sz w:val="21"/>
                <w:szCs w:val="21"/>
                <w:lang w:val="en-US" w:eastAsia="zh-CN"/>
              </w:rPr>
              <w:t>二级</w:t>
            </w:r>
          </w:p>
        </w:tc>
        <w:tc>
          <w:tcPr>
            <w:tcW w:w="10755" w:type="dxa"/>
            <w:vMerge w:val="continue"/>
            <w:vAlign w:val="top"/>
          </w:tcPr>
          <w:p>
            <w:pPr>
              <w:widowControl w:val="0"/>
              <w:wordWrap/>
              <w:adjustRightInd/>
              <w:snapToGrid/>
              <w:spacing w:line="320" w:lineRule="exact"/>
              <w:jc w:val="center"/>
              <w:textAlignment w:val="auto"/>
              <w:rPr>
                <w:rFonts w:hint="eastAsia" w:ascii="黑体" w:hAnsi="黑体" w:eastAsia="黑体" w:cs="黑体"/>
                <w:spacing w:val="0"/>
                <w:w w:val="100"/>
                <w:sz w:val="21"/>
                <w:szCs w:val="21"/>
                <w:lang w:val="en-US" w:eastAsia="zh-CN"/>
              </w:rPr>
            </w:pPr>
          </w:p>
        </w:tc>
        <w:tc>
          <w:tcPr>
            <w:tcW w:w="990" w:type="dxa"/>
            <w:vMerge w:val="continue"/>
            <w:vAlign w:val="top"/>
          </w:tcPr>
          <w:p>
            <w:pPr>
              <w:widowControl w:val="0"/>
              <w:wordWrap/>
              <w:adjustRightInd/>
              <w:snapToGrid/>
              <w:spacing w:line="320" w:lineRule="exact"/>
              <w:jc w:val="center"/>
              <w:textAlignment w:val="auto"/>
              <w:rPr>
                <w:rFonts w:hint="eastAsia" w:ascii="黑体" w:hAnsi="黑体" w:eastAsia="黑体" w:cs="黑体"/>
                <w:spacing w:val="0"/>
                <w:w w:val="10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38" w:type="dxa"/>
            <w:vMerge w:val="restart"/>
            <w:vAlign w:val="center"/>
          </w:tcPr>
          <w:p>
            <w:pPr>
              <w:widowControl w:val="0"/>
              <w:numPr>
                <w:ilvl w:val="0"/>
                <w:numId w:val="0"/>
              </w:numPr>
              <w:wordWrap/>
              <w:adjustRightInd/>
              <w:snapToGrid/>
              <w:spacing w:line="320" w:lineRule="exact"/>
              <w:ind w:left="0" w:leftChars="0" w:firstLine="0" w:firstLineChars="0"/>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1</w:t>
            </w:r>
          </w:p>
        </w:tc>
        <w:tc>
          <w:tcPr>
            <w:tcW w:w="970" w:type="dxa"/>
            <w:vMerge w:val="restart"/>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领导</w:t>
            </w:r>
          </w:p>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150分</w:t>
            </w:r>
          </w:p>
        </w:tc>
        <w:tc>
          <w:tcPr>
            <w:tcW w:w="1468"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rPr>
            </w:pPr>
            <w:r>
              <w:rPr>
                <w:rFonts w:hint="default" w:ascii="Times New Roman" w:hAnsi="Times New Roman" w:eastAsia="宋体" w:cs="Times New Roman"/>
                <w:spacing w:val="0"/>
                <w:w w:val="100"/>
                <w:sz w:val="21"/>
                <w:szCs w:val="21"/>
                <w:lang w:val="en-US" w:eastAsia="zh-CN"/>
              </w:rPr>
              <w:t>1.1企业家精神</w:t>
            </w:r>
          </w:p>
        </w:tc>
        <w:tc>
          <w:tcPr>
            <w:tcW w:w="10755" w:type="dxa"/>
            <w:vAlign w:val="top"/>
          </w:tcPr>
          <w:p>
            <w:pPr>
              <w:widowControl w:val="0"/>
              <w:numPr>
                <w:ilvl w:val="0"/>
                <w:numId w:val="1"/>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如何弘扬企业家精神，引领组织高质量发展。</w:t>
            </w:r>
          </w:p>
          <w:p>
            <w:pPr>
              <w:widowControl w:val="0"/>
              <w:numPr>
                <w:ilvl w:val="0"/>
                <w:numId w:val="1"/>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如何增强爱国情怀，把组织发展同国家繁荣、民族兴盛、人民幸福紧密结合在一起，主动为国担当、为国分忧。</w:t>
            </w:r>
          </w:p>
          <w:p>
            <w:pPr>
              <w:widowControl w:val="0"/>
              <w:numPr>
                <w:ilvl w:val="0"/>
                <w:numId w:val="1"/>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如何拓展国际视野，并不断提高把握国际市场动向和需求特点、国际规则和国际市场开拓及防范风险等方面的能力，带动组织在更高水平的对外开放中实现更好发展，促进国内国际双循环。</w:t>
            </w:r>
          </w:p>
        </w:tc>
        <w:tc>
          <w:tcPr>
            <w:tcW w:w="990"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38" w:type="dxa"/>
            <w:vMerge w:val="continue"/>
            <w:vAlign w:val="center"/>
          </w:tcPr>
          <w:p>
            <w:pPr>
              <w:widowControl w:val="0"/>
              <w:numPr>
                <w:ilvl w:val="0"/>
                <w:numId w:val="2"/>
              </w:numPr>
              <w:wordWrap/>
              <w:adjustRightInd/>
              <w:snapToGrid/>
              <w:spacing w:line="32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970" w:type="dxa"/>
            <w:vMerge w:val="continue"/>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p>
        </w:tc>
        <w:tc>
          <w:tcPr>
            <w:tcW w:w="1468"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1.2组织文化</w:t>
            </w:r>
          </w:p>
        </w:tc>
        <w:tc>
          <w:tcPr>
            <w:tcW w:w="10755" w:type="dxa"/>
            <w:vAlign w:val="top"/>
          </w:tcPr>
          <w:p>
            <w:pPr>
              <w:widowControl w:val="0"/>
              <w:numPr>
                <w:ilvl w:val="0"/>
                <w:numId w:val="3"/>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如何确定使命愿景和价值观，并有效贯彻落实到利益相关方（股东、员工、供应商、合作伙伴、顾客和其他利益相关方等）。</w:t>
            </w:r>
          </w:p>
          <w:p>
            <w:pPr>
              <w:widowControl w:val="0"/>
              <w:numPr>
                <w:ilvl w:val="0"/>
                <w:numId w:val="3"/>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如何建立以质量为核心的组织文化，并</w:t>
            </w:r>
            <w:r>
              <w:rPr>
                <w:rFonts w:hint="default" w:ascii="Times New Roman" w:hAnsi="Times New Roman" w:eastAsia="宋体" w:cs="Times New Roman"/>
                <w:spacing w:val="0"/>
                <w:w w:val="100"/>
                <w:sz w:val="21"/>
                <w:szCs w:val="21"/>
              </w:rPr>
              <w:t>以其自身言行展现他们的质量承诺</w:t>
            </w:r>
            <w:r>
              <w:rPr>
                <w:rFonts w:hint="default" w:ascii="Times New Roman" w:hAnsi="Times New Roman" w:eastAsia="宋体" w:cs="Times New Roman"/>
                <w:spacing w:val="0"/>
                <w:w w:val="100"/>
                <w:sz w:val="21"/>
                <w:szCs w:val="21"/>
                <w:lang w:val="en-US" w:eastAsia="zh-CN"/>
              </w:rPr>
              <w:t>。</w:t>
            </w:r>
          </w:p>
          <w:p>
            <w:pPr>
              <w:widowControl w:val="0"/>
              <w:numPr>
                <w:ilvl w:val="0"/>
                <w:numId w:val="3"/>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如何对组织文化的建设进行评估并持续改善。</w:t>
            </w:r>
          </w:p>
        </w:tc>
        <w:tc>
          <w:tcPr>
            <w:tcW w:w="990"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38" w:type="dxa"/>
            <w:vMerge w:val="continue"/>
            <w:vAlign w:val="top"/>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rPr>
            </w:pPr>
          </w:p>
        </w:tc>
        <w:tc>
          <w:tcPr>
            <w:tcW w:w="970" w:type="dxa"/>
            <w:vMerge w:val="continue"/>
            <w:vAlign w:val="top"/>
          </w:tcPr>
          <w:p>
            <w:pPr>
              <w:widowControl w:val="0"/>
              <w:wordWrap/>
              <w:adjustRightInd/>
              <w:snapToGrid/>
              <w:spacing w:line="320" w:lineRule="exact"/>
              <w:textAlignment w:val="auto"/>
              <w:rPr>
                <w:rFonts w:hint="default" w:ascii="Times New Roman" w:hAnsi="Times New Roman" w:eastAsia="宋体" w:cs="Times New Roman"/>
                <w:spacing w:val="0"/>
                <w:w w:val="100"/>
                <w:sz w:val="21"/>
                <w:szCs w:val="21"/>
              </w:rPr>
            </w:pPr>
          </w:p>
        </w:tc>
        <w:tc>
          <w:tcPr>
            <w:tcW w:w="1468"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rPr>
            </w:pPr>
            <w:r>
              <w:rPr>
                <w:rFonts w:hint="default" w:ascii="Times New Roman" w:hAnsi="Times New Roman" w:eastAsia="宋体" w:cs="Times New Roman"/>
                <w:spacing w:val="0"/>
                <w:w w:val="100"/>
                <w:sz w:val="21"/>
                <w:szCs w:val="21"/>
                <w:lang w:val="en-US" w:eastAsia="zh-CN"/>
              </w:rPr>
              <w:t>1.3战略管理</w:t>
            </w:r>
          </w:p>
        </w:tc>
        <w:tc>
          <w:tcPr>
            <w:tcW w:w="10755" w:type="dxa"/>
            <w:vAlign w:val="top"/>
          </w:tcPr>
          <w:p>
            <w:pPr>
              <w:widowControl w:val="0"/>
              <w:numPr>
                <w:ilvl w:val="0"/>
                <w:numId w:val="4"/>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如何进行战略管理，包括质量战略、品牌战略等。</w:t>
            </w:r>
          </w:p>
          <w:p>
            <w:pPr>
              <w:widowControl w:val="0"/>
              <w:numPr>
                <w:ilvl w:val="0"/>
                <w:numId w:val="4"/>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如何制定战略目标并加以分解到组织的各个层次，并建立绩效监测、分析、评价与改进体系，确保战略目标的达成。</w:t>
            </w:r>
          </w:p>
          <w:p>
            <w:pPr>
              <w:widowControl w:val="0"/>
              <w:numPr>
                <w:ilvl w:val="0"/>
                <w:numId w:val="4"/>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如何识别创新机会并应用到战略制定和/或调整中。</w:t>
            </w:r>
          </w:p>
        </w:tc>
        <w:tc>
          <w:tcPr>
            <w:tcW w:w="990"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38" w:type="dxa"/>
            <w:vMerge w:val="continue"/>
            <w:vAlign w:val="top"/>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rPr>
            </w:pPr>
          </w:p>
        </w:tc>
        <w:tc>
          <w:tcPr>
            <w:tcW w:w="970" w:type="dxa"/>
            <w:vMerge w:val="continue"/>
            <w:vAlign w:val="top"/>
          </w:tcPr>
          <w:p>
            <w:pPr>
              <w:widowControl w:val="0"/>
              <w:wordWrap/>
              <w:adjustRightInd/>
              <w:snapToGrid/>
              <w:spacing w:line="320" w:lineRule="exact"/>
              <w:textAlignment w:val="auto"/>
              <w:rPr>
                <w:rFonts w:hint="default" w:ascii="Times New Roman" w:hAnsi="Times New Roman" w:eastAsia="宋体" w:cs="Times New Roman"/>
                <w:spacing w:val="0"/>
                <w:w w:val="100"/>
                <w:sz w:val="21"/>
                <w:szCs w:val="21"/>
              </w:rPr>
            </w:pPr>
          </w:p>
        </w:tc>
        <w:tc>
          <w:tcPr>
            <w:tcW w:w="1468"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rPr>
            </w:pPr>
            <w:r>
              <w:rPr>
                <w:rFonts w:hint="default" w:ascii="Times New Roman" w:hAnsi="Times New Roman" w:eastAsia="宋体" w:cs="Times New Roman"/>
                <w:spacing w:val="0"/>
                <w:w w:val="100"/>
                <w:sz w:val="21"/>
                <w:szCs w:val="21"/>
                <w:lang w:val="en-US" w:eastAsia="zh-CN"/>
              </w:rPr>
              <w:t>1.4组织治理</w:t>
            </w:r>
          </w:p>
        </w:tc>
        <w:tc>
          <w:tcPr>
            <w:tcW w:w="10755" w:type="dxa"/>
            <w:vAlign w:val="top"/>
          </w:tcPr>
          <w:p>
            <w:pPr>
              <w:widowControl w:val="0"/>
              <w:numPr>
                <w:ilvl w:val="0"/>
                <w:numId w:val="5"/>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如何进行组织架构设计和治理系统建设，以激发组织活力。</w:t>
            </w:r>
          </w:p>
          <w:p>
            <w:pPr>
              <w:widowControl w:val="0"/>
              <w:numPr>
                <w:ilvl w:val="0"/>
                <w:numId w:val="5"/>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如何对组织的领导和治理机构成员的绩效及合规性进行评价，使其为决策和活动的影响承担责任。</w:t>
            </w:r>
          </w:p>
          <w:p>
            <w:pPr>
              <w:widowControl w:val="0"/>
              <w:numPr>
                <w:ilvl w:val="0"/>
                <w:numId w:val="5"/>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如何运用绩效评价结果改进自身和治理机构的有效性，以促进组织发展。</w:t>
            </w:r>
          </w:p>
        </w:tc>
        <w:tc>
          <w:tcPr>
            <w:tcW w:w="990"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38" w:type="dxa"/>
            <w:vMerge w:val="continue"/>
            <w:vAlign w:val="top"/>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rPr>
            </w:pPr>
          </w:p>
        </w:tc>
        <w:tc>
          <w:tcPr>
            <w:tcW w:w="970" w:type="dxa"/>
            <w:vMerge w:val="continue"/>
            <w:vAlign w:val="top"/>
          </w:tcPr>
          <w:p>
            <w:pPr>
              <w:widowControl w:val="0"/>
              <w:wordWrap/>
              <w:adjustRightInd/>
              <w:snapToGrid/>
              <w:spacing w:line="320" w:lineRule="exact"/>
              <w:textAlignment w:val="auto"/>
              <w:rPr>
                <w:rFonts w:hint="default" w:ascii="Times New Roman" w:hAnsi="Times New Roman" w:eastAsia="宋体" w:cs="Times New Roman"/>
                <w:spacing w:val="0"/>
                <w:w w:val="100"/>
                <w:sz w:val="21"/>
                <w:szCs w:val="21"/>
              </w:rPr>
            </w:pPr>
          </w:p>
        </w:tc>
        <w:tc>
          <w:tcPr>
            <w:tcW w:w="1468"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rPr>
            </w:pPr>
            <w:r>
              <w:rPr>
                <w:rFonts w:hint="default" w:ascii="Times New Roman" w:hAnsi="Times New Roman" w:eastAsia="宋体" w:cs="Times New Roman"/>
                <w:spacing w:val="0"/>
                <w:w w:val="100"/>
                <w:sz w:val="21"/>
                <w:szCs w:val="21"/>
                <w:lang w:val="en-US" w:eastAsia="zh-CN"/>
              </w:rPr>
              <w:t>1.5社会责任</w:t>
            </w:r>
          </w:p>
        </w:tc>
        <w:tc>
          <w:tcPr>
            <w:tcW w:w="10755" w:type="dxa"/>
            <w:vAlign w:val="top"/>
          </w:tcPr>
          <w:p>
            <w:pPr>
              <w:widowControl w:val="0"/>
              <w:numPr>
                <w:ilvl w:val="0"/>
                <w:numId w:val="6"/>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如何履行公共责任，包括质量安全、节能环保、资源消耗、低碳发展等方面的责任。</w:t>
            </w:r>
          </w:p>
          <w:p>
            <w:pPr>
              <w:widowControl w:val="0"/>
              <w:numPr>
                <w:ilvl w:val="0"/>
                <w:numId w:val="6"/>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如何树立法治意识、契约精神、守约观念，并建立道德规范和实施质量诚信体系，包括履行产品召回制度等。</w:t>
            </w:r>
          </w:p>
          <w:p>
            <w:pPr>
              <w:widowControl w:val="0"/>
              <w:numPr>
                <w:ilvl w:val="0"/>
                <w:numId w:val="6"/>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如何进行公益支持，包括关爱员工（稳岗就业、关心员工健康、同员工携手渡过难关）、</w:t>
            </w:r>
            <w:r>
              <w:rPr>
                <w:rFonts w:hint="default" w:ascii="Times New Roman" w:hAnsi="Times New Roman" w:eastAsia="宋体" w:cs="Times New Roman"/>
                <w:spacing w:val="0"/>
                <w:w w:val="100"/>
                <w:sz w:val="21"/>
                <w:szCs w:val="21"/>
              </w:rPr>
              <w:t>参加社会组织</w:t>
            </w:r>
            <w:r>
              <w:rPr>
                <w:rFonts w:hint="default" w:ascii="Times New Roman" w:hAnsi="Times New Roman" w:eastAsia="宋体" w:cs="Times New Roman"/>
                <w:spacing w:val="0"/>
                <w:w w:val="100"/>
                <w:sz w:val="21"/>
                <w:szCs w:val="21"/>
                <w:lang w:eastAsia="zh-CN"/>
              </w:rPr>
              <w:t>（</w:t>
            </w:r>
            <w:r>
              <w:rPr>
                <w:rFonts w:hint="default" w:ascii="Times New Roman" w:hAnsi="Times New Roman" w:eastAsia="宋体" w:cs="Times New Roman"/>
                <w:spacing w:val="0"/>
                <w:w w:val="100"/>
                <w:sz w:val="21"/>
                <w:szCs w:val="21"/>
                <w:lang w:val="en-US" w:eastAsia="zh-CN"/>
              </w:rPr>
              <w:t>担任一定职务</w:t>
            </w:r>
            <w:r>
              <w:rPr>
                <w:rFonts w:hint="default" w:ascii="Times New Roman" w:hAnsi="Times New Roman" w:eastAsia="宋体" w:cs="Times New Roman"/>
                <w:spacing w:val="0"/>
                <w:w w:val="100"/>
                <w:sz w:val="21"/>
                <w:szCs w:val="21"/>
                <w:lang w:eastAsia="zh-CN"/>
              </w:rPr>
              <w:t>）、</w:t>
            </w:r>
            <w:r>
              <w:rPr>
                <w:rFonts w:hint="default" w:ascii="Times New Roman" w:hAnsi="Times New Roman" w:eastAsia="宋体" w:cs="Times New Roman"/>
                <w:spacing w:val="0"/>
                <w:w w:val="100"/>
                <w:sz w:val="21"/>
                <w:szCs w:val="21"/>
              </w:rPr>
              <w:t>发挥</w:t>
            </w:r>
            <w:r>
              <w:rPr>
                <w:rFonts w:hint="default" w:ascii="Times New Roman" w:hAnsi="Times New Roman" w:eastAsia="宋体" w:cs="Times New Roman"/>
                <w:spacing w:val="0"/>
                <w:w w:val="100"/>
                <w:sz w:val="21"/>
                <w:szCs w:val="21"/>
                <w:lang w:val="en-US" w:eastAsia="zh-CN"/>
              </w:rPr>
              <w:t>行业</w:t>
            </w:r>
            <w:r>
              <w:rPr>
                <w:rFonts w:hint="default" w:ascii="Times New Roman" w:hAnsi="Times New Roman" w:eastAsia="宋体" w:cs="Times New Roman"/>
                <w:spacing w:val="0"/>
                <w:w w:val="100"/>
                <w:sz w:val="21"/>
                <w:szCs w:val="21"/>
              </w:rPr>
              <w:t>引领作用</w:t>
            </w:r>
            <w:r>
              <w:rPr>
                <w:rFonts w:hint="default" w:ascii="Times New Roman" w:hAnsi="Times New Roman" w:eastAsia="宋体" w:cs="Times New Roman"/>
                <w:spacing w:val="0"/>
                <w:w w:val="100"/>
                <w:sz w:val="21"/>
                <w:szCs w:val="21"/>
                <w:lang w:eastAsia="zh-CN"/>
              </w:rPr>
              <w:t>、</w:t>
            </w:r>
            <w:r>
              <w:rPr>
                <w:rFonts w:hint="default" w:ascii="Times New Roman" w:hAnsi="Times New Roman" w:eastAsia="宋体" w:cs="Times New Roman"/>
                <w:spacing w:val="0"/>
                <w:w w:val="100"/>
                <w:sz w:val="21"/>
                <w:szCs w:val="21"/>
                <w:lang w:val="en-US" w:eastAsia="zh-CN"/>
              </w:rPr>
              <w:t>以及</w:t>
            </w:r>
            <w:r>
              <w:rPr>
                <w:rFonts w:hint="default" w:ascii="Times New Roman" w:hAnsi="Times New Roman" w:eastAsia="宋体" w:cs="Times New Roman"/>
                <w:spacing w:val="0"/>
                <w:w w:val="100"/>
                <w:sz w:val="21"/>
                <w:szCs w:val="21"/>
              </w:rPr>
              <w:t>参加社区活动</w:t>
            </w:r>
            <w:r>
              <w:rPr>
                <w:rFonts w:hint="default" w:ascii="Times New Roman" w:hAnsi="Times New Roman" w:eastAsia="宋体" w:cs="Times New Roman"/>
                <w:spacing w:val="0"/>
                <w:w w:val="100"/>
                <w:sz w:val="21"/>
                <w:szCs w:val="21"/>
                <w:lang w:val="en-US" w:eastAsia="zh-CN"/>
              </w:rPr>
              <w:t>并营造重视质量、关注质量和享受质量的氛围。</w:t>
            </w:r>
          </w:p>
        </w:tc>
        <w:tc>
          <w:tcPr>
            <w:tcW w:w="990"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38" w:type="dxa"/>
            <w:vMerge w:val="restart"/>
            <w:vAlign w:val="center"/>
          </w:tcPr>
          <w:p>
            <w:pPr>
              <w:widowControl w:val="0"/>
              <w:numPr>
                <w:ilvl w:val="0"/>
                <w:numId w:val="0"/>
              </w:numPr>
              <w:wordWrap/>
              <w:adjustRightInd/>
              <w:snapToGrid/>
              <w:spacing w:line="320" w:lineRule="exact"/>
              <w:ind w:left="0" w:leftChars="0" w:firstLine="0" w:firstLineChars="0"/>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2</w:t>
            </w:r>
          </w:p>
        </w:tc>
        <w:tc>
          <w:tcPr>
            <w:tcW w:w="970" w:type="dxa"/>
            <w:vMerge w:val="restart"/>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质量</w:t>
            </w:r>
          </w:p>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300分</w:t>
            </w:r>
          </w:p>
        </w:tc>
        <w:tc>
          <w:tcPr>
            <w:tcW w:w="1468"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2.1管理体系</w:t>
            </w:r>
          </w:p>
        </w:tc>
        <w:tc>
          <w:tcPr>
            <w:tcW w:w="10755" w:type="dxa"/>
            <w:vAlign w:val="top"/>
          </w:tcPr>
          <w:p>
            <w:pPr>
              <w:widowControl w:val="0"/>
              <w:numPr>
                <w:ilvl w:val="0"/>
                <w:numId w:val="7"/>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如何进行组织管理体系的建设和融合，如质量、环境、职业健康安全、能源、风险、诚信、知识产权、创新或合规性管理等体系的建立、实施、保持和融合。</w:t>
            </w:r>
          </w:p>
          <w:p>
            <w:pPr>
              <w:widowControl w:val="0"/>
              <w:numPr>
                <w:ilvl w:val="0"/>
                <w:numId w:val="7"/>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如何运用互联网、物联网、大数据、云计算、5G等新一代信息技术对组织的物流、资金流和信息流进行有效控制和管理，以增强组织竞争力。</w:t>
            </w:r>
          </w:p>
          <w:p>
            <w:pPr>
              <w:widowControl w:val="0"/>
              <w:numPr>
                <w:ilvl w:val="0"/>
                <w:numId w:val="7"/>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如何对这些管理体系的建设、运行和融合进行监测和评审，并不断提高其有效性和效率。</w:t>
            </w:r>
          </w:p>
        </w:tc>
        <w:tc>
          <w:tcPr>
            <w:tcW w:w="990"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38" w:type="dxa"/>
            <w:vMerge w:val="continue"/>
            <w:vAlign w:val="center"/>
          </w:tcPr>
          <w:p>
            <w:pPr>
              <w:widowControl w:val="0"/>
              <w:numPr>
                <w:ilvl w:val="0"/>
                <w:numId w:val="2"/>
              </w:numPr>
              <w:wordWrap/>
              <w:adjustRightInd/>
              <w:snapToGrid/>
              <w:spacing w:line="32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970" w:type="dxa"/>
            <w:vMerge w:val="continue"/>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rPr>
            </w:pPr>
          </w:p>
        </w:tc>
        <w:tc>
          <w:tcPr>
            <w:tcW w:w="1468" w:type="dxa"/>
            <w:vAlign w:val="center"/>
          </w:tcPr>
          <w:p>
            <w:pPr>
              <w:widowControl w:val="0"/>
              <w:wordWrap/>
              <w:adjustRightInd/>
              <w:snapToGrid/>
              <w:spacing w:line="34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2.2顾客需求</w:t>
            </w:r>
          </w:p>
        </w:tc>
        <w:tc>
          <w:tcPr>
            <w:tcW w:w="10755" w:type="dxa"/>
            <w:vAlign w:val="top"/>
          </w:tcPr>
          <w:p>
            <w:pPr>
              <w:widowControl w:val="0"/>
              <w:numPr>
                <w:ilvl w:val="0"/>
                <w:numId w:val="8"/>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如何识别并确定顾客及其他利益相关方的需求和期望，包括质量、安全、健康、知情权、选择权、补偿权、隐私权、交货期等，并将这些需求和期望转化到组织的产品和/或工艺设计、创新和质量改进中。</w:t>
            </w:r>
          </w:p>
          <w:p>
            <w:pPr>
              <w:widowControl w:val="0"/>
              <w:numPr>
                <w:ilvl w:val="0"/>
                <w:numId w:val="8"/>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如何应用适宜的技术和方法有效管理顾客关系，并定期测量顾客满意度，以改进产品质量和服务水平</w:t>
            </w:r>
            <w:r>
              <w:rPr>
                <w:rFonts w:hint="default" w:ascii="Times New Roman" w:hAnsi="Times New Roman" w:eastAsia="宋体" w:cs="Times New Roman"/>
                <w:spacing w:val="0"/>
                <w:w w:val="100"/>
                <w:sz w:val="21"/>
                <w:szCs w:val="21"/>
                <w:lang w:eastAsia="zh-CN"/>
              </w:rPr>
              <w:t>。</w:t>
            </w:r>
          </w:p>
          <w:p>
            <w:pPr>
              <w:widowControl w:val="0"/>
              <w:numPr>
                <w:ilvl w:val="0"/>
                <w:numId w:val="8"/>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如何快速有效的处理顾客的投诉和抱怨，并对其原因进行分析以推动组织及合作伙伴不断改进。</w:t>
            </w:r>
          </w:p>
        </w:tc>
        <w:tc>
          <w:tcPr>
            <w:tcW w:w="990"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38" w:type="dxa"/>
            <w:vMerge w:val="continue"/>
            <w:vAlign w:val="center"/>
          </w:tcPr>
          <w:p>
            <w:pPr>
              <w:widowControl w:val="0"/>
              <w:numPr>
                <w:ilvl w:val="0"/>
                <w:numId w:val="2"/>
              </w:numPr>
              <w:wordWrap/>
              <w:adjustRightInd/>
              <w:snapToGrid/>
              <w:spacing w:line="32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970" w:type="dxa"/>
            <w:vMerge w:val="continue"/>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rPr>
            </w:pPr>
          </w:p>
        </w:tc>
        <w:tc>
          <w:tcPr>
            <w:tcW w:w="1468" w:type="dxa"/>
            <w:vAlign w:val="center"/>
          </w:tcPr>
          <w:p>
            <w:pPr>
              <w:widowControl w:val="0"/>
              <w:wordWrap/>
              <w:adjustRightInd/>
              <w:snapToGrid/>
              <w:spacing w:line="34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2.3质量协同</w:t>
            </w:r>
          </w:p>
        </w:tc>
        <w:tc>
          <w:tcPr>
            <w:tcW w:w="10755" w:type="dxa"/>
            <w:vAlign w:val="top"/>
          </w:tcPr>
          <w:p>
            <w:pPr>
              <w:widowControl w:val="0"/>
              <w:numPr>
                <w:ilvl w:val="0"/>
                <w:numId w:val="9"/>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如何有效进行供应链管理，以推动供应链组织之间的质量信息交流和质量改进，增强产业链自主可控能力，实现质量协同。</w:t>
            </w:r>
          </w:p>
          <w:p>
            <w:pPr>
              <w:widowControl w:val="0"/>
              <w:numPr>
                <w:ilvl w:val="0"/>
                <w:numId w:val="9"/>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如何建立关键供方质量考核和保证制度，并在供应链上下游组织复制或推广其质量管理模式、方法或制度。</w:t>
            </w:r>
          </w:p>
          <w:p>
            <w:pPr>
              <w:widowControl w:val="0"/>
              <w:numPr>
                <w:ilvl w:val="0"/>
                <w:numId w:val="9"/>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如何测量和评估供方绩效，并向供方反馈相关信息以帮助其改进。</w:t>
            </w:r>
          </w:p>
        </w:tc>
        <w:tc>
          <w:tcPr>
            <w:tcW w:w="990"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38" w:type="dxa"/>
            <w:vMerge w:val="continue"/>
            <w:vAlign w:val="center"/>
          </w:tcPr>
          <w:p>
            <w:pPr>
              <w:widowControl w:val="0"/>
              <w:numPr>
                <w:ilvl w:val="0"/>
                <w:numId w:val="2"/>
              </w:numPr>
              <w:wordWrap/>
              <w:adjustRightInd/>
              <w:snapToGrid/>
              <w:spacing w:line="32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970" w:type="dxa"/>
            <w:vMerge w:val="continue"/>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rPr>
            </w:pPr>
          </w:p>
        </w:tc>
        <w:tc>
          <w:tcPr>
            <w:tcW w:w="1468" w:type="dxa"/>
            <w:vAlign w:val="center"/>
          </w:tcPr>
          <w:p>
            <w:pPr>
              <w:widowControl w:val="0"/>
              <w:wordWrap/>
              <w:adjustRightInd/>
              <w:snapToGrid/>
              <w:spacing w:line="34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2.4质量基础</w:t>
            </w:r>
          </w:p>
        </w:tc>
        <w:tc>
          <w:tcPr>
            <w:tcW w:w="10755" w:type="dxa"/>
            <w:vAlign w:val="top"/>
          </w:tcPr>
          <w:p>
            <w:pPr>
              <w:widowControl w:val="0"/>
              <w:numPr>
                <w:ilvl w:val="0"/>
                <w:numId w:val="10"/>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如何进行标准化、计量、检验检测、认证认可、知识产权等质量基础设施能力建设，并提升其管理水平。</w:t>
            </w:r>
          </w:p>
          <w:p>
            <w:pPr>
              <w:widowControl w:val="0"/>
              <w:numPr>
                <w:ilvl w:val="0"/>
                <w:numId w:val="10"/>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如何运用成熟的管理制度、方法和/或工具对生产或服务现场进行质量管理，并提升生产或服务管理的信息化、智能化或数字化水平。</w:t>
            </w:r>
          </w:p>
          <w:p>
            <w:pPr>
              <w:widowControl w:val="0"/>
              <w:numPr>
                <w:ilvl w:val="0"/>
                <w:numId w:val="10"/>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如何建立质量安全保证和风险防控机制，包括信息收集、关键风险因素识别及相关措施的制定与实施，以避免产生具有重大影响的质量、安全、环保事故。</w:t>
            </w:r>
          </w:p>
        </w:tc>
        <w:tc>
          <w:tcPr>
            <w:tcW w:w="990"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38" w:type="dxa"/>
            <w:vMerge w:val="continue"/>
            <w:vAlign w:val="center"/>
          </w:tcPr>
          <w:p>
            <w:pPr>
              <w:widowControl w:val="0"/>
              <w:numPr>
                <w:ilvl w:val="0"/>
                <w:numId w:val="2"/>
              </w:numPr>
              <w:wordWrap/>
              <w:adjustRightInd/>
              <w:snapToGrid/>
              <w:spacing w:line="32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970" w:type="dxa"/>
            <w:vMerge w:val="continue"/>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rPr>
            </w:pPr>
          </w:p>
        </w:tc>
        <w:tc>
          <w:tcPr>
            <w:tcW w:w="1468"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2.5教育培训</w:t>
            </w:r>
          </w:p>
        </w:tc>
        <w:tc>
          <w:tcPr>
            <w:tcW w:w="10755" w:type="dxa"/>
            <w:vAlign w:val="top"/>
          </w:tcPr>
          <w:p>
            <w:pPr>
              <w:widowControl w:val="0"/>
              <w:numPr>
                <w:ilvl w:val="0"/>
                <w:numId w:val="11"/>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如何树立人才是第一资源的理念，激发各类人才创造活力，以推动组织可持续发展。</w:t>
            </w:r>
          </w:p>
          <w:p>
            <w:pPr>
              <w:widowControl w:val="0"/>
              <w:numPr>
                <w:ilvl w:val="0"/>
                <w:numId w:val="11"/>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如何建立员工的质量激励机制和质量考核制度，引导、鼓励和鞭策员工积极参与组织的改进和创新。</w:t>
            </w:r>
          </w:p>
          <w:p>
            <w:pPr>
              <w:widowControl w:val="0"/>
              <w:numPr>
                <w:ilvl w:val="0"/>
                <w:numId w:val="11"/>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如何开展教育培训以提升员工素质，包括开展职业技术资格认定、质量技能教育和培训等。</w:t>
            </w:r>
          </w:p>
        </w:tc>
        <w:tc>
          <w:tcPr>
            <w:tcW w:w="990"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38" w:type="dxa"/>
            <w:vMerge w:val="continue"/>
            <w:vAlign w:val="center"/>
          </w:tcPr>
          <w:p>
            <w:pPr>
              <w:widowControl w:val="0"/>
              <w:numPr>
                <w:ilvl w:val="0"/>
                <w:numId w:val="2"/>
              </w:numPr>
              <w:wordWrap/>
              <w:adjustRightInd/>
              <w:snapToGrid/>
              <w:spacing w:line="32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970" w:type="dxa"/>
            <w:vMerge w:val="continue"/>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rPr>
            </w:pPr>
          </w:p>
        </w:tc>
        <w:tc>
          <w:tcPr>
            <w:tcW w:w="1468"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2.6工匠精神</w:t>
            </w:r>
          </w:p>
        </w:tc>
        <w:tc>
          <w:tcPr>
            <w:tcW w:w="10755" w:type="dxa"/>
            <w:vAlign w:val="center"/>
          </w:tcPr>
          <w:p>
            <w:pPr>
              <w:widowControl w:val="0"/>
              <w:numPr>
                <w:ilvl w:val="0"/>
                <w:numId w:val="12"/>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如何树立精雕细琢、精益求精的工匠理念，培育新时期的工匠精神，进一步提高员工素质和整体水平。</w:t>
            </w:r>
          </w:p>
          <w:p>
            <w:pPr>
              <w:widowControl w:val="0"/>
              <w:numPr>
                <w:ilvl w:val="0"/>
                <w:numId w:val="12"/>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如何发扬工匠精神，打造高质量的产品，提高组织的核心竞争力。</w:t>
            </w:r>
          </w:p>
        </w:tc>
        <w:tc>
          <w:tcPr>
            <w:tcW w:w="990"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38" w:type="dxa"/>
            <w:vMerge w:val="continue"/>
            <w:vAlign w:val="center"/>
          </w:tcPr>
          <w:p>
            <w:pPr>
              <w:widowControl w:val="0"/>
              <w:numPr>
                <w:ilvl w:val="0"/>
                <w:numId w:val="2"/>
              </w:numPr>
              <w:wordWrap/>
              <w:adjustRightInd/>
              <w:snapToGrid/>
              <w:spacing w:line="32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970" w:type="dxa"/>
            <w:vMerge w:val="continue"/>
            <w:vAlign w:val="top"/>
          </w:tcPr>
          <w:p>
            <w:pPr>
              <w:widowControl w:val="0"/>
              <w:wordWrap/>
              <w:adjustRightInd/>
              <w:snapToGrid/>
              <w:spacing w:line="320" w:lineRule="exact"/>
              <w:textAlignment w:val="auto"/>
              <w:rPr>
                <w:rFonts w:hint="default" w:ascii="Times New Roman" w:hAnsi="Times New Roman" w:eastAsia="宋体" w:cs="Times New Roman"/>
                <w:spacing w:val="0"/>
                <w:w w:val="100"/>
                <w:sz w:val="21"/>
                <w:szCs w:val="21"/>
              </w:rPr>
            </w:pPr>
          </w:p>
        </w:tc>
        <w:tc>
          <w:tcPr>
            <w:tcW w:w="1468"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2.7质量变革</w:t>
            </w:r>
          </w:p>
        </w:tc>
        <w:tc>
          <w:tcPr>
            <w:tcW w:w="10755" w:type="dxa"/>
            <w:vAlign w:val="top"/>
          </w:tcPr>
          <w:p>
            <w:pPr>
              <w:widowControl w:val="0"/>
              <w:numPr>
                <w:ilvl w:val="0"/>
                <w:numId w:val="13"/>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如何提升产品的质量水平，并通过不断改进产品质量，形成产品的独特竞争优势和对产业链的参与优势。</w:t>
            </w:r>
          </w:p>
          <w:p>
            <w:pPr>
              <w:widowControl w:val="0"/>
              <w:numPr>
                <w:ilvl w:val="0"/>
                <w:numId w:val="13"/>
              </w:numPr>
              <w:wordWrap/>
              <w:adjustRightInd/>
              <w:snapToGrid/>
              <w:spacing w:line="320" w:lineRule="exact"/>
              <w:ind w:left="227" w:leftChars="0" w:hanging="227"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如何改善产品或服务质量、工艺技术及管理水平等方面存在的差距，以提升产业链组织的稳定性。</w:t>
            </w:r>
          </w:p>
          <w:p>
            <w:pPr>
              <w:widowControl w:val="0"/>
              <w:numPr>
                <w:ilvl w:val="0"/>
                <w:numId w:val="13"/>
              </w:numPr>
              <w:wordWrap/>
              <w:adjustRightInd/>
              <w:snapToGrid/>
              <w:spacing w:line="320" w:lineRule="exact"/>
              <w:ind w:left="227" w:leftChars="0" w:hanging="227" w:firstLineChars="0"/>
              <w:jc w:val="both"/>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如何开展质量改进活动，包括诸如质量提升小组或跨部门质量提升或质量改进团队的建设以及质量改进工具与提升方法的应用等。</w:t>
            </w:r>
          </w:p>
        </w:tc>
        <w:tc>
          <w:tcPr>
            <w:tcW w:w="990"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5" w:hRule="atLeast"/>
          <w:jc w:val="center"/>
        </w:trPr>
        <w:tc>
          <w:tcPr>
            <w:tcW w:w="738" w:type="dxa"/>
            <w:vMerge w:val="restart"/>
            <w:vAlign w:val="center"/>
          </w:tcPr>
          <w:p>
            <w:pPr>
              <w:widowControl w:val="0"/>
              <w:numPr>
                <w:ilvl w:val="0"/>
                <w:numId w:val="0"/>
              </w:numPr>
              <w:wordWrap/>
              <w:adjustRightInd/>
              <w:snapToGrid/>
              <w:spacing w:line="320" w:lineRule="exact"/>
              <w:ind w:left="0" w:leftChars="0" w:firstLine="0" w:firstLineChars="0"/>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w:t>
            </w:r>
          </w:p>
        </w:tc>
        <w:tc>
          <w:tcPr>
            <w:tcW w:w="970" w:type="dxa"/>
            <w:vMerge w:val="restart"/>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创新</w:t>
            </w:r>
          </w:p>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200分</w:t>
            </w:r>
          </w:p>
        </w:tc>
        <w:tc>
          <w:tcPr>
            <w:tcW w:w="1468"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3.1动力变革</w:t>
            </w:r>
          </w:p>
        </w:tc>
        <w:tc>
          <w:tcPr>
            <w:tcW w:w="10755" w:type="dxa"/>
            <w:vAlign w:val="top"/>
          </w:tcPr>
          <w:p>
            <w:pPr>
              <w:widowControl w:val="0"/>
              <w:numPr>
                <w:ilvl w:val="0"/>
                <w:numId w:val="14"/>
              </w:numPr>
              <w:wordWrap/>
              <w:adjustRightInd/>
              <w:snapToGrid/>
              <w:spacing w:line="320" w:lineRule="exact"/>
              <w:ind w:left="227" w:leftChars="0" w:hanging="227"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创新是高质量发展的第一动力，如何将创新理念融入到组织之中，并建立、实施和保持创新管理体系，以提高组织效益和竞争优势。</w:t>
            </w:r>
          </w:p>
          <w:p>
            <w:pPr>
              <w:widowControl w:val="0"/>
              <w:numPr>
                <w:ilvl w:val="0"/>
                <w:numId w:val="14"/>
              </w:numPr>
              <w:wordWrap/>
              <w:adjustRightInd/>
              <w:snapToGrid/>
              <w:spacing w:line="320" w:lineRule="exact"/>
              <w:ind w:left="227" w:leftChars="0" w:hanging="227"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如何发现创新机会并管理创新过程，包括建立创新激励机制和管理制度等。</w:t>
            </w:r>
          </w:p>
          <w:p>
            <w:pPr>
              <w:widowControl w:val="0"/>
              <w:numPr>
                <w:ilvl w:val="0"/>
                <w:numId w:val="14"/>
              </w:numPr>
              <w:wordWrap/>
              <w:adjustRightInd/>
              <w:snapToGrid/>
              <w:spacing w:line="320" w:lineRule="exact"/>
              <w:ind w:left="227" w:leftChars="0" w:hanging="227"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如何去追求被认定为可实现/可控制的风险的机会，以及在合适的时机中断此活动以支持更优先的机会。</w:t>
            </w:r>
          </w:p>
        </w:tc>
        <w:tc>
          <w:tcPr>
            <w:tcW w:w="990"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38" w:type="dxa"/>
            <w:vMerge w:val="continue"/>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rPr>
            </w:pPr>
          </w:p>
        </w:tc>
        <w:tc>
          <w:tcPr>
            <w:tcW w:w="970" w:type="dxa"/>
            <w:vMerge w:val="continue"/>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rPr>
            </w:pPr>
          </w:p>
        </w:tc>
        <w:tc>
          <w:tcPr>
            <w:tcW w:w="1468"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3.2创新能力</w:t>
            </w:r>
          </w:p>
        </w:tc>
        <w:tc>
          <w:tcPr>
            <w:tcW w:w="10755" w:type="dxa"/>
            <w:vAlign w:val="top"/>
          </w:tcPr>
          <w:p>
            <w:pPr>
              <w:widowControl w:val="0"/>
              <w:numPr>
                <w:ilvl w:val="0"/>
                <w:numId w:val="15"/>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如何建设创新平台和打造科研创新团队（包括参与重大科研项目的能力），并保持创新平台的有效运行以提升组织的核心竞争力。</w:t>
            </w:r>
          </w:p>
          <w:p>
            <w:pPr>
              <w:widowControl w:val="0"/>
              <w:numPr>
                <w:ilvl w:val="0"/>
                <w:numId w:val="15"/>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如何积极学习和应用先进技术和方法，并对运营过程中所产生的信息和知识进行系统管理，持续提高组织的纠错能力、应变能力和创新能力，实现关键核心技术自主可控、解决“卡脖子”等技术难题。</w:t>
            </w:r>
          </w:p>
        </w:tc>
        <w:tc>
          <w:tcPr>
            <w:tcW w:w="990"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80分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38" w:type="dxa"/>
            <w:vMerge w:val="continue"/>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p>
        </w:tc>
        <w:tc>
          <w:tcPr>
            <w:tcW w:w="970" w:type="dxa"/>
            <w:vMerge w:val="continue"/>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p>
        </w:tc>
        <w:tc>
          <w:tcPr>
            <w:tcW w:w="1468"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3.3管理创新</w:t>
            </w:r>
          </w:p>
        </w:tc>
        <w:tc>
          <w:tcPr>
            <w:tcW w:w="10755" w:type="dxa"/>
            <w:vAlign w:val="top"/>
          </w:tcPr>
          <w:p>
            <w:pPr>
              <w:widowControl w:val="0"/>
              <w:numPr>
                <w:ilvl w:val="0"/>
                <w:numId w:val="16"/>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如何根据组织的战略任务，结合技术和产品发展的趋势，有组织有计划地推动管理创新，包括针对具体质量问题，创新管理工具和方法，以使组织的各项活动更加高效。</w:t>
            </w:r>
          </w:p>
          <w:p>
            <w:pPr>
              <w:widowControl w:val="0"/>
              <w:numPr>
                <w:ilvl w:val="0"/>
                <w:numId w:val="16"/>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如何进行组织的管理模式、经营模式、商业模式创新，如通过互联网开展业务、开展个性化服务或定制化服务等。</w:t>
            </w:r>
          </w:p>
        </w:tc>
        <w:tc>
          <w:tcPr>
            <w:tcW w:w="990"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45分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38" w:type="dxa"/>
            <w:vMerge w:val="continue"/>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p>
        </w:tc>
        <w:tc>
          <w:tcPr>
            <w:tcW w:w="970" w:type="dxa"/>
            <w:vMerge w:val="continue"/>
            <w:vAlign w:val="top"/>
          </w:tcPr>
          <w:p>
            <w:pPr>
              <w:widowControl w:val="0"/>
              <w:wordWrap/>
              <w:adjustRightInd/>
              <w:snapToGrid/>
              <w:spacing w:line="320" w:lineRule="exact"/>
              <w:textAlignment w:val="auto"/>
              <w:rPr>
                <w:rFonts w:hint="default" w:ascii="Times New Roman" w:hAnsi="Times New Roman" w:eastAsia="宋体" w:cs="Times New Roman"/>
                <w:spacing w:val="0"/>
                <w:w w:val="100"/>
                <w:sz w:val="21"/>
                <w:szCs w:val="21"/>
                <w:lang w:val="en-US" w:eastAsia="zh-CN"/>
              </w:rPr>
            </w:pPr>
          </w:p>
        </w:tc>
        <w:tc>
          <w:tcPr>
            <w:tcW w:w="1468"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3.4技术创新</w:t>
            </w:r>
          </w:p>
        </w:tc>
        <w:tc>
          <w:tcPr>
            <w:tcW w:w="10755" w:type="dxa"/>
            <w:vAlign w:val="top"/>
          </w:tcPr>
          <w:p>
            <w:pPr>
              <w:widowControl w:val="0"/>
              <w:numPr>
                <w:ilvl w:val="0"/>
                <w:numId w:val="17"/>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如何围绕组织的使命和愿景，结合环境的变化，通过引进、消化、吸收、开发适用的先进技术和先进标准形成组织的技术体系，并有效保护自身的知识产权，包括海内外专利的申请和保护。</w:t>
            </w:r>
          </w:p>
          <w:p>
            <w:pPr>
              <w:widowControl w:val="0"/>
              <w:numPr>
                <w:ilvl w:val="0"/>
                <w:numId w:val="17"/>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如何建立、实施和保持技术评估体系，并与竞争对手和标杆进行比较分析，不断提高组织</w:t>
            </w:r>
            <w:r>
              <w:rPr>
                <w:rFonts w:hint="default" w:ascii="Times New Roman" w:hAnsi="Times New Roman" w:eastAsia="宋体" w:cs="Times New Roman"/>
                <w:spacing w:val="0"/>
                <w:w w:val="100"/>
                <w:sz w:val="21"/>
                <w:szCs w:val="21"/>
              </w:rPr>
              <w:t>技术水平</w:t>
            </w:r>
            <w:r>
              <w:rPr>
                <w:rFonts w:hint="default" w:ascii="Times New Roman" w:hAnsi="Times New Roman" w:eastAsia="宋体" w:cs="Times New Roman"/>
                <w:spacing w:val="0"/>
                <w:w w:val="100"/>
                <w:sz w:val="21"/>
                <w:szCs w:val="21"/>
                <w:lang w:eastAsia="zh-CN"/>
              </w:rPr>
              <w:t>，</w:t>
            </w:r>
            <w:r>
              <w:rPr>
                <w:rFonts w:hint="default" w:ascii="Times New Roman" w:hAnsi="Times New Roman" w:eastAsia="宋体" w:cs="Times New Roman"/>
                <w:spacing w:val="0"/>
                <w:w w:val="100"/>
                <w:sz w:val="21"/>
                <w:szCs w:val="21"/>
                <w:lang w:val="en-US" w:eastAsia="zh-CN"/>
              </w:rPr>
              <w:t>以增强组织的核心竞争力。</w:t>
            </w:r>
          </w:p>
          <w:p>
            <w:pPr>
              <w:widowControl w:val="0"/>
              <w:numPr>
                <w:ilvl w:val="0"/>
                <w:numId w:val="17"/>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如何利用互联网、物联网、大数据、云计算、5G等新一代信息技术进行诸如研发设计</w:t>
            </w:r>
            <w:r>
              <w:rPr>
                <w:rFonts w:hint="default" w:ascii="Times New Roman" w:hAnsi="Times New Roman" w:eastAsia="宋体" w:cs="Times New Roman"/>
                <w:spacing w:val="0"/>
                <w:w w:val="100"/>
                <w:sz w:val="21"/>
                <w:szCs w:val="21"/>
              </w:rPr>
              <w:t>、</w:t>
            </w:r>
            <w:r>
              <w:rPr>
                <w:rFonts w:hint="default" w:ascii="Times New Roman" w:hAnsi="Times New Roman" w:eastAsia="宋体" w:cs="Times New Roman"/>
                <w:spacing w:val="0"/>
                <w:w w:val="100"/>
                <w:sz w:val="21"/>
                <w:szCs w:val="21"/>
                <w:lang w:val="en-US" w:eastAsia="zh-CN"/>
              </w:rPr>
              <w:t>制造</w:t>
            </w:r>
            <w:r>
              <w:rPr>
                <w:rFonts w:hint="default" w:ascii="Times New Roman" w:hAnsi="Times New Roman" w:eastAsia="宋体" w:cs="Times New Roman"/>
                <w:spacing w:val="0"/>
                <w:w w:val="100"/>
                <w:sz w:val="21"/>
                <w:szCs w:val="21"/>
              </w:rPr>
              <w:t>工艺</w:t>
            </w:r>
            <w:r>
              <w:rPr>
                <w:rFonts w:hint="default" w:ascii="Times New Roman" w:hAnsi="Times New Roman" w:eastAsia="宋体" w:cs="Times New Roman"/>
                <w:spacing w:val="0"/>
                <w:w w:val="100"/>
                <w:sz w:val="21"/>
                <w:szCs w:val="21"/>
                <w:lang w:val="en-US" w:eastAsia="zh-CN"/>
              </w:rPr>
              <w:t>和</w:t>
            </w:r>
            <w:r>
              <w:rPr>
                <w:rFonts w:hint="default" w:ascii="Times New Roman" w:hAnsi="Times New Roman" w:eastAsia="宋体" w:cs="Times New Roman"/>
                <w:spacing w:val="0"/>
                <w:w w:val="100"/>
                <w:sz w:val="21"/>
                <w:szCs w:val="21"/>
              </w:rPr>
              <w:t>产品</w:t>
            </w:r>
            <w:r>
              <w:rPr>
                <w:rFonts w:hint="default" w:ascii="Times New Roman" w:hAnsi="Times New Roman" w:eastAsia="宋体" w:cs="Times New Roman"/>
                <w:spacing w:val="0"/>
                <w:w w:val="100"/>
                <w:sz w:val="21"/>
                <w:szCs w:val="21"/>
                <w:lang w:val="en-US" w:eastAsia="zh-CN"/>
              </w:rPr>
              <w:t>性能等</w:t>
            </w:r>
            <w:r>
              <w:rPr>
                <w:rFonts w:hint="default" w:ascii="Times New Roman" w:hAnsi="Times New Roman" w:eastAsia="宋体" w:cs="Times New Roman"/>
                <w:spacing w:val="0"/>
                <w:w w:val="100"/>
                <w:sz w:val="21"/>
                <w:szCs w:val="21"/>
              </w:rPr>
              <w:t>创新</w:t>
            </w:r>
            <w:r>
              <w:rPr>
                <w:rFonts w:hint="default" w:ascii="Times New Roman" w:hAnsi="Times New Roman" w:eastAsia="宋体" w:cs="Times New Roman"/>
                <w:spacing w:val="0"/>
                <w:w w:val="100"/>
                <w:sz w:val="21"/>
                <w:szCs w:val="21"/>
                <w:lang w:val="en-US" w:eastAsia="zh-CN"/>
              </w:rPr>
              <w:t>和改进。</w:t>
            </w:r>
          </w:p>
        </w:tc>
        <w:tc>
          <w:tcPr>
            <w:tcW w:w="990"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45分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38" w:type="dxa"/>
            <w:vMerge w:val="restart"/>
            <w:vAlign w:val="center"/>
          </w:tcPr>
          <w:p>
            <w:pPr>
              <w:widowControl w:val="0"/>
              <w:numPr>
                <w:ilvl w:val="0"/>
                <w:numId w:val="0"/>
              </w:numPr>
              <w:wordWrap/>
              <w:adjustRightInd/>
              <w:snapToGrid/>
              <w:spacing w:line="320" w:lineRule="exact"/>
              <w:ind w:left="0" w:leftChars="0" w:firstLine="0" w:firstLineChars="0"/>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4</w:t>
            </w:r>
          </w:p>
        </w:tc>
        <w:tc>
          <w:tcPr>
            <w:tcW w:w="970" w:type="dxa"/>
            <w:vMerge w:val="restart"/>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品牌</w:t>
            </w:r>
          </w:p>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100分</w:t>
            </w:r>
          </w:p>
        </w:tc>
        <w:tc>
          <w:tcPr>
            <w:tcW w:w="1468"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4.1品牌规划</w:t>
            </w:r>
          </w:p>
        </w:tc>
        <w:tc>
          <w:tcPr>
            <w:tcW w:w="10755" w:type="dxa"/>
            <w:vAlign w:val="top"/>
          </w:tcPr>
          <w:p>
            <w:pPr>
              <w:widowControl w:val="0"/>
              <w:numPr>
                <w:ilvl w:val="0"/>
                <w:numId w:val="18"/>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如何基于顾客的需求和期望进行品牌定位，建立以品牌核心价值和特性为中心的品牌识别系统。</w:t>
            </w:r>
          </w:p>
          <w:p>
            <w:pPr>
              <w:widowControl w:val="0"/>
              <w:numPr>
                <w:ilvl w:val="0"/>
                <w:numId w:val="18"/>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如何制定和实施品牌规划。</w:t>
            </w:r>
          </w:p>
          <w:p>
            <w:pPr>
              <w:widowControl w:val="0"/>
              <w:numPr>
                <w:ilvl w:val="0"/>
                <w:numId w:val="18"/>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如何利用组织有价值的活动提升品牌的知名度、认知度、忠诚度和美誉度。</w:t>
            </w:r>
          </w:p>
        </w:tc>
        <w:tc>
          <w:tcPr>
            <w:tcW w:w="990"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38" w:type="dxa"/>
            <w:vMerge w:val="continue"/>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rPr>
            </w:pPr>
          </w:p>
        </w:tc>
        <w:tc>
          <w:tcPr>
            <w:tcW w:w="970" w:type="dxa"/>
            <w:vMerge w:val="continue"/>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rPr>
            </w:pPr>
          </w:p>
        </w:tc>
        <w:tc>
          <w:tcPr>
            <w:tcW w:w="1468"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4.2品牌管理</w:t>
            </w:r>
          </w:p>
        </w:tc>
        <w:tc>
          <w:tcPr>
            <w:tcW w:w="10755" w:type="dxa"/>
            <w:vAlign w:val="top"/>
          </w:tcPr>
          <w:p>
            <w:pPr>
              <w:widowControl w:val="0"/>
              <w:numPr>
                <w:ilvl w:val="0"/>
                <w:numId w:val="19"/>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 xml:space="preserve">如何进行品牌管理，抓住时机进行品牌延伸扩张，并有效回避品牌延伸的风险。 </w:t>
            </w:r>
          </w:p>
          <w:p>
            <w:pPr>
              <w:widowControl w:val="0"/>
              <w:numPr>
                <w:ilvl w:val="0"/>
                <w:numId w:val="19"/>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如何预防市场垄断及倾销行为。</w:t>
            </w:r>
          </w:p>
          <w:p>
            <w:pPr>
              <w:widowControl w:val="0"/>
              <w:numPr>
                <w:ilvl w:val="0"/>
                <w:numId w:val="19"/>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如何进行品牌资产管理，实现品牌资产的保值和增值。</w:t>
            </w:r>
          </w:p>
        </w:tc>
        <w:tc>
          <w:tcPr>
            <w:tcW w:w="990"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38" w:type="dxa"/>
            <w:vMerge w:val="continue"/>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p>
        </w:tc>
        <w:tc>
          <w:tcPr>
            <w:tcW w:w="970" w:type="dxa"/>
            <w:vMerge w:val="continue"/>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p>
        </w:tc>
        <w:tc>
          <w:tcPr>
            <w:tcW w:w="1468"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4.3品牌保护</w:t>
            </w:r>
          </w:p>
        </w:tc>
        <w:tc>
          <w:tcPr>
            <w:tcW w:w="10755" w:type="dxa"/>
            <w:vAlign w:val="top"/>
          </w:tcPr>
          <w:p>
            <w:pPr>
              <w:widowControl w:val="0"/>
              <w:numPr>
                <w:ilvl w:val="0"/>
                <w:numId w:val="20"/>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如何进行品牌保护，包括组织商标国内外的注册。</w:t>
            </w:r>
          </w:p>
          <w:p>
            <w:pPr>
              <w:widowControl w:val="0"/>
              <w:numPr>
                <w:ilvl w:val="0"/>
                <w:numId w:val="20"/>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如何建立顾客投诉及快速协调解决机制，以使组织有效避免潜在的品牌风险。</w:t>
            </w:r>
          </w:p>
          <w:p>
            <w:pPr>
              <w:widowControl w:val="0"/>
              <w:numPr>
                <w:ilvl w:val="0"/>
                <w:numId w:val="20"/>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w:t>
            </w:r>
            <w:r>
              <w:rPr>
                <w:rFonts w:hint="default" w:ascii="Times New Roman" w:hAnsi="Times New Roman" w:eastAsia="宋体" w:cs="Times New Roman"/>
                <w:spacing w:val="0"/>
                <w:w w:val="100"/>
                <w:sz w:val="21"/>
                <w:szCs w:val="21"/>
              </w:rPr>
              <w:t>建立和保持品牌危机预警和应急处理系统，评估公关方案的及时性和有效性，消除或降低品牌的负面影响</w:t>
            </w:r>
            <w:r>
              <w:rPr>
                <w:rFonts w:hint="default" w:ascii="Times New Roman" w:hAnsi="Times New Roman" w:eastAsia="宋体" w:cs="Times New Roman"/>
                <w:spacing w:val="0"/>
                <w:w w:val="100"/>
                <w:sz w:val="21"/>
                <w:szCs w:val="21"/>
                <w:lang w:val="en-US" w:eastAsia="zh-CN"/>
              </w:rPr>
              <w:t>。</w:t>
            </w:r>
          </w:p>
        </w:tc>
        <w:tc>
          <w:tcPr>
            <w:tcW w:w="990"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38" w:type="dxa"/>
            <w:vMerge w:val="restart"/>
            <w:vAlign w:val="center"/>
          </w:tcPr>
          <w:p>
            <w:pPr>
              <w:widowControl w:val="0"/>
              <w:numPr>
                <w:ilvl w:val="0"/>
                <w:numId w:val="0"/>
              </w:numPr>
              <w:wordWrap/>
              <w:adjustRightInd/>
              <w:snapToGrid/>
              <w:spacing w:line="320" w:lineRule="exact"/>
              <w:ind w:left="0" w:leftChars="0" w:firstLine="0" w:firstLineChars="0"/>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w:t>
            </w:r>
          </w:p>
        </w:tc>
        <w:tc>
          <w:tcPr>
            <w:tcW w:w="970" w:type="dxa"/>
            <w:vMerge w:val="restart"/>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效益</w:t>
            </w:r>
          </w:p>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250分</w:t>
            </w:r>
          </w:p>
        </w:tc>
        <w:tc>
          <w:tcPr>
            <w:tcW w:w="1468"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5.1质量水平</w:t>
            </w:r>
          </w:p>
        </w:tc>
        <w:tc>
          <w:tcPr>
            <w:tcW w:w="10755" w:type="dxa"/>
            <w:vAlign w:val="top"/>
          </w:tcPr>
          <w:p>
            <w:pPr>
              <w:widowControl w:val="0"/>
              <w:numPr>
                <w:ilvl w:val="0"/>
                <w:numId w:val="21"/>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说明产品或服务的关键质量指标水平及提升情况。</w:t>
            </w:r>
          </w:p>
          <w:p>
            <w:pPr>
              <w:widowControl w:val="0"/>
              <w:numPr>
                <w:ilvl w:val="0"/>
                <w:numId w:val="21"/>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说明质量安全状况，如人员伤亡、质量安全事故、大规模消费者投诉举报、质量诚信不良记录等。</w:t>
            </w:r>
          </w:p>
          <w:p>
            <w:pPr>
              <w:widowControl w:val="0"/>
              <w:numPr>
                <w:ilvl w:val="0"/>
                <w:numId w:val="21"/>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说明国内外质量奖励或荣誉情况。</w:t>
            </w:r>
          </w:p>
        </w:tc>
        <w:tc>
          <w:tcPr>
            <w:tcW w:w="990"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38" w:type="dxa"/>
            <w:vMerge w:val="continue"/>
            <w:vAlign w:val="top"/>
          </w:tcPr>
          <w:p>
            <w:pPr>
              <w:widowControl w:val="0"/>
              <w:wordWrap/>
              <w:adjustRightInd/>
              <w:snapToGrid/>
              <w:spacing w:line="32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970" w:type="dxa"/>
            <w:vMerge w:val="continue"/>
            <w:vAlign w:val="top"/>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p>
        </w:tc>
        <w:tc>
          <w:tcPr>
            <w:tcW w:w="1468"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5.2创新价值</w:t>
            </w:r>
          </w:p>
        </w:tc>
        <w:tc>
          <w:tcPr>
            <w:tcW w:w="10755" w:type="dxa"/>
            <w:vAlign w:val="top"/>
          </w:tcPr>
          <w:p>
            <w:pPr>
              <w:widowControl w:val="0"/>
              <w:numPr>
                <w:ilvl w:val="0"/>
                <w:numId w:val="22"/>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说明拥有的核心技术或业务引领行业发展状况，包括发明专利、参与标准制定和新产品的市场销售等方面的情况。</w:t>
            </w:r>
          </w:p>
          <w:p>
            <w:pPr>
              <w:widowControl w:val="0"/>
              <w:numPr>
                <w:ilvl w:val="0"/>
                <w:numId w:val="22"/>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说明核心技术或业务在增强市场竞争力方面的促进作用，如适应市场需求、替代进口产品和突破技术壁垒以及推动科技进步、引领产业发展、保护生态环境、减少资源消耗、保障国家安全等。</w:t>
            </w:r>
          </w:p>
        </w:tc>
        <w:tc>
          <w:tcPr>
            <w:tcW w:w="990"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38" w:type="dxa"/>
            <w:vMerge w:val="continue"/>
            <w:vAlign w:val="top"/>
          </w:tcPr>
          <w:p>
            <w:pPr>
              <w:widowControl w:val="0"/>
              <w:wordWrap/>
              <w:adjustRightInd/>
              <w:snapToGrid/>
              <w:spacing w:line="36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970" w:type="dxa"/>
            <w:vMerge w:val="continue"/>
            <w:vAlign w:val="top"/>
          </w:tcPr>
          <w:p>
            <w:pPr>
              <w:widowControl w:val="0"/>
              <w:wordWrap/>
              <w:adjustRightInd/>
              <w:snapToGrid/>
              <w:spacing w:line="360" w:lineRule="exact"/>
              <w:jc w:val="center"/>
              <w:textAlignment w:val="auto"/>
              <w:rPr>
                <w:rFonts w:hint="default" w:ascii="Times New Roman" w:hAnsi="Times New Roman" w:eastAsia="宋体" w:cs="Times New Roman"/>
                <w:spacing w:val="0"/>
                <w:w w:val="100"/>
                <w:sz w:val="21"/>
                <w:szCs w:val="21"/>
                <w:lang w:val="en-US" w:eastAsia="zh-CN"/>
              </w:rPr>
            </w:pPr>
          </w:p>
        </w:tc>
        <w:tc>
          <w:tcPr>
            <w:tcW w:w="1468" w:type="dxa"/>
            <w:vAlign w:val="center"/>
          </w:tcPr>
          <w:p>
            <w:pPr>
              <w:widowControl w:val="0"/>
              <w:wordWrap/>
              <w:adjustRightInd/>
              <w:snapToGrid/>
              <w:spacing w:line="36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5.3品牌影响</w:t>
            </w:r>
          </w:p>
        </w:tc>
        <w:tc>
          <w:tcPr>
            <w:tcW w:w="10755" w:type="dxa"/>
            <w:vAlign w:val="top"/>
          </w:tcPr>
          <w:p>
            <w:pPr>
              <w:widowControl w:val="0"/>
              <w:numPr>
                <w:ilvl w:val="0"/>
                <w:numId w:val="23"/>
              </w:numPr>
              <w:wordWrap/>
              <w:adjustRightInd/>
              <w:snapToGrid/>
              <w:spacing w:line="36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说明主品牌在市场的影响情况，如顾客满意度和忠诚度，品牌知名度、认知度、美誉度等。</w:t>
            </w:r>
          </w:p>
          <w:p>
            <w:pPr>
              <w:widowControl w:val="0"/>
              <w:numPr>
                <w:ilvl w:val="0"/>
                <w:numId w:val="23"/>
              </w:numPr>
              <w:wordWrap/>
              <w:adjustRightInd/>
              <w:snapToGrid/>
              <w:spacing w:line="36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说明主营业务市场规模/份额变化情况。</w:t>
            </w:r>
          </w:p>
          <w:p>
            <w:pPr>
              <w:widowControl w:val="0"/>
              <w:numPr>
                <w:ilvl w:val="0"/>
                <w:numId w:val="23"/>
              </w:numPr>
              <w:wordWrap/>
              <w:adjustRightInd/>
              <w:snapToGrid/>
              <w:spacing w:line="36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说明主要品牌竞争力、社会认可及品牌价值。</w:t>
            </w:r>
          </w:p>
        </w:tc>
        <w:tc>
          <w:tcPr>
            <w:tcW w:w="990"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38" w:type="dxa"/>
            <w:vMerge w:val="continue"/>
            <w:vAlign w:val="top"/>
          </w:tcPr>
          <w:p>
            <w:pPr>
              <w:widowControl w:val="0"/>
              <w:wordWrap/>
              <w:adjustRightInd/>
              <w:snapToGrid/>
              <w:spacing w:line="36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970" w:type="dxa"/>
            <w:vMerge w:val="continue"/>
            <w:vAlign w:val="top"/>
          </w:tcPr>
          <w:p>
            <w:pPr>
              <w:widowControl w:val="0"/>
              <w:wordWrap/>
              <w:adjustRightInd/>
              <w:snapToGrid/>
              <w:spacing w:line="360" w:lineRule="exact"/>
              <w:jc w:val="center"/>
              <w:textAlignment w:val="auto"/>
              <w:rPr>
                <w:rFonts w:hint="default" w:ascii="Times New Roman" w:hAnsi="Times New Roman" w:eastAsia="宋体" w:cs="Times New Roman"/>
                <w:spacing w:val="0"/>
                <w:w w:val="100"/>
                <w:sz w:val="21"/>
                <w:szCs w:val="21"/>
                <w:lang w:val="en-US" w:eastAsia="zh-CN"/>
              </w:rPr>
            </w:pPr>
          </w:p>
        </w:tc>
        <w:tc>
          <w:tcPr>
            <w:tcW w:w="1468" w:type="dxa"/>
            <w:vAlign w:val="center"/>
          </w:tcPr>
          <w:p>
            <w:pPr>
              <w:widowControl w:val="0"/>
              <w:wordWrap/>
              <w:adjustRightInd/>
              <w:snapToGrid/>
              <w:spacing w:line="36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5.4绿色成效</w:t>
            </w:r>
          </w:p>
        </w:tc>
        <w:tc>
          <w:tcPr>
            <w:tcW w:w="10755" w:type="dxa"/>
            <w:vAlign w:val="top"/>
          </w:tcPr>
          <w:p>
            <w:pPr>
              <w:widowControl w:val="0"/>
              <w:numPr>
                <w:ilvl w:val="0"/>
                <w:numId w:val="24"/>
              </w:numPr>
              <w:wordWrap/>
              <w:adjustRightInd/>
              <w:snapToGrid/>
              <w:spacing w:line="36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说明单位产值综合能耗/综合水耗及发展趋势。</w:t>
            </w:r>
          </w:p>
          <w:p>
            <w:pPr>
              <w:widowControl w:val="0"/>
              <w:numPr>
                <w:ilvl w:val="0"/>
                <w:numId w:val="24"/>
              </w:numPr>
              <w:wordWrap/>
              <w:adjustRightInd/>
              <w:snapToGrid/>
              <w:spacing w:line="36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说明可再生能源利用及占比情况及发展趋势。</w:t>
            </w:r>
          </w:p>
          <w:p>
            <w:pPr>
              <w:widowControl w:val="0"/>
              <w:numPr>
                <w:ilvl w:val="0"/>
                <w:numId w:val="24"/>
              </w:numPr>
              <w:wordWrap/>
              <w:adjustRightInd/>
              <w:snapToGrid/>
              <w:spacing w:line="36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说明单位产值二氧化碳排放量及发展趋势。</w:t>
            </w:r>
          </w:p>
          <w:p>
            <w:pPr>
              <w:widowControl w:val="0"/>
              <w:numPr>
                <w:ilvl w:val="0"/>
                <w:numId w:val="24"/>
              </w:numPr>
              <w:wordWrap/>
              <w:adjustRightInd/>
              <w:snapToGrid/>
              <w:spacing w:line="36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说明单位建设用地产值及发展趋势。</w:t>
            </w:r>
          </w:p>
        </w:tc>
        <w:tc>
          <w:tcPr>
            <w:tcW w:w="990"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38" w:type="dxa"/>
            <w:vMerge w:val="continue"/>
            <w:vAlign w:val="top"/>
          </w:tcPr>
          <w:p>
            <w:pPr>
              <w:widowControl w:val="0"/>
              <w:wordWrap/>
              <w:adjustRightInd/>
              <w:snapToGrid/>
              <w:spacing w:line="36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970" w:type="dxa"/>
            <w:vMerge w:val="continue"/>
            <w:vAlign w:val="top"/>
          </w:tcPr>
          <w:p>
            <w:pPr>
              <w:widowControl w:val="0"/>
              <w:wordWrap/>
              <w:adjustRightInd/>
              <w:snapToGrid/>
              <w:spacing w:line="360" w:lineRule="exact"/>
              <w:jc w:val="center"/>
              <w:textAlignment w:val="auto"/>
              <w:rPr>
                <w:rFonts w:hint="default" w:ascii="Times New Roman" w:hAnsi="Times New Roman" w:eastAsia="宋体" w:cs="Times New Roman"/>
                <w:spacing w:val="0"/>
                <w:w w:val="100"/>
                <w:sz w:val="21"/>
                <w:szCs w:val="21"/>
                <w:lang w:val="en-US" w:eastAsia="zh-CN"/>
              </w:rPr>
            </w:pPr>
          </w:p>
        </w:tc>
        <w:tc>
          <w:tcPr>
            <w:tcW w:w="1468" w:type="dxa"/>
            <w:vAlign w:val="center"/>
          </w:tcPr>
          <w:p>
            <w:pPr>
              <w:widowControl w:val="0"/>
              <w:wordWrap/>
              <w:adjustRightInd/>
              <w:snapToGrid/>
              <w:spacing w:line="36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5.5效率变革</w:t>
            </w:r>
          </w:p>
        </w:tc>
        <w:tc>
          <w:tcPr>
            <w:tcW w:w="10755" w:type="dxa"/>
            <w:vAlign w:val="top"/>
          </w:tcPr>
          <w:p>
            <w:pPr>
              <w:widowControl w:val="0"/>
              <w:numPr>
                <w:ilvl w:val="0"/>
                <w:numId w:val="0"/>
              </w:numPr>
              <w:wordWrap/>
              <w:adjustRightInd/>
              <w:snapToGrid/>
              <w:spacing w:line="360" w:lineRule="exact"/>
              <w:ind w:left="0" w:leftChars="0" w:firstLine="0"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a.说明生产组织效率，如生产或服务现场质量管理成熟度等情况及发展趋势。</w:t>
            </w:r>
          </w:p>
          <w:p>
            <w:pPr>
              <w:widowControl w:val="0"/>
              <w:numPr>
                <w:ilvl w:val="0"/>
                <w:numId w:val="0"/>
              </w:numPr>
              <w:wordWrap/>
              <w:adjustRightInd/>
              <w:snapToGrid/>
              <w:spacing w:line="360" w:lineRule="exact"/>
              <w:ind w:left="0" w:leftChars="0" w:firstLine="0"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b.说明组织运行效率如全员劳动生产率,加工、制造及服务提供过程</w:t>
            </w:r>
            <w:r>
              <w:rPr>
                <w:rFonts w:hint="default" w:ascii="Times New Roman" w:hAnsi="Times New Roman" w:eastAsia="宋体" w:cs="Times New Roman"/>
                <w:color w:val="000000"/>
                <w:spacing w:val="0"/>
                <w:w w:val="100"/>
                <w:sz w:val="21"/>
                <w:szCs w:val="21"/>
              </w:rPr>
              <w:t>信息化、智能化</w:t>
            </w:r>
            <w:r>
              <w:rPr>
                <w:rFonts w:hint="default" w:ascii="Times New Roman" w:hAnsi="Times New Roman" w:eastAsia="宋体" w:cs="Times New Roman"/>
                <w:color w:val="000000"/>
                <w:spacing w:val="0"/>
                <w:w w:val="100"/>
                <w:sz w:val="21"/>
                <w:szCs w:val="21"/>
                <w:lang w:val="en-US" w:eastAsia="zh-CN"/>
              </w:rPr>
              <w:t>和数字化及运行</w:t>
            </w:r>
            <w:r>
              <w:rPr>
                <w:rFonts w:hint="default" w:ascii="Times New Roman" w:hAnsi="Times New Roman" w:eastAsia="宋体" w:cs="Times New Roman"/>
                <w:spacing w:val="0"/>
                <w:w w:val="100"/>
                <w:sz w:val="21"/>
                <w:szCs w:val="21"/>
                <w:lang w:val="en-US" w:eastAsia="zh-CN"/>
              </w:rPr>
              <w:t>有效性和效率状况及发展趋势。</w:t>
            </w:r>
          </w:p>
        </w:tc>
        <w:tc>
          <w:tcPr>
            <w:tcW w:w="990"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38" w:type="dxa"/>
            <w:vMerge w:val="continue"/>
            <w:vAlign w:val="top"/>
          </w:tcPr>
          <w:p>
            <w:pPr>
              <w:widowControl w:val="0"/>
              <w:wordWrap/>
              <w:adjustRightInd/>
              <w:snapToGrid/>
              <w:spacing w:line="36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970" w:type="dxa"/>
            <w:vMerge w:val="continue"/>
            <w:vAlign w:val="top"/>
          </w:tcPr>
          <w:p>
            <w:pPr>
              <w:widowControl w:val="0"/>
              <w:wordWrap/>
              <w:adjustRightInd/>
              <w:snapToGrid/>
              <w:spacing w:line="360" w:lineRule="exact"/>
              <w:jc w:val="center"/>
              <w:textAlignment w:val="auto"/>
              <w:rPr>
                <w:rFonts w:hint="default" w:ascii="Times New Roman" w:hAnsi="Times New Roman" w:eastAsia="宋体" w:cs="Times New Roman"/>
                <w:spacing w:val="0"/>
                <w:w w:val="100"/>
                <w:sz w:val="21"/>
                <w:szCs w:val="21"/>
                <w:lang w:val="en-US" w:eastAsia="zh-CN"/>
              </w:rPr>
            </w:pPr>
          </w:p>
        </w:tc>
        <w:tc>
          <w:tcPr>
            <w:tcW w:w="1468" w:type="dxa"/>
            <w:vAlign w:val="center"/>
          </w:tcPr>
          <w:p>
            <w:pPr>
              <w:widowControl w:val="0"/>
              <w:wordWrap/>
              <w:adjustRightInd/>
              <w:snapToGrid/>
              <w:spacing w:line="36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5.6经济效益</w:t>
            </w:r>
          </w:p>
        </w:tc>
        <w:tc>
          <w:tcPr>
            <w:tcW w:w="10755" w:type="dxa"/>
            <w:vAlign w:val="top"/>
          </w:tcPr>
          <w:p>
            <w:pPr>
              <w:widowControl w:val="0"/>
              <w:numPr>
                <w:ilvl w:val="0"/>
                <w:numId w:val="25"/>
              </w:numPr>
              <w:wordWrap/>
              <w:adjustRightInd/>
              <w:snapToGrid/>
              <w:spacing w:line="36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说明主营业务收入占比、营业收入利润率、净利润、人均利润额及纳税状况等。</w:t>
            </w:r>
          </w:p>
          <w:p>
            <w:pPr>
              <w:widowControl w:val="0"/>
              <w:numPr>
                <w:ilvl w:val="0"/>
                <w:numId w:val="25"/>
              </w:numPr>
              <w:wordWrap/>
              <w:adjustRightInd/>
              <w:snapToGrid/>
              <w:spacing w:line="36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说明资产负债率、创汇总额、总资产贡献率、资本保值增值率、流动资产周转率、成本费用利润率等。</w:t>
            </w:r>
          </w:p>
        </w:tc>
        <w:tc>
          <w:tcPr>
            <w:tcW w:w="990"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38" w:type="dxa"/>
            <w:vMerge w:val="continue"/>
            <w:vAlign w:val="top"/>
          </w:tcPr>
          <w:p>
            <w:pPr>
              <w:widowControl w:val="0"/>
              <w:wordWrap/>
              <w:adjustRightInd/>
              <w:snapToGrid/>
              <w:spacing w:line="36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970" w:type="dxa"/>
            <w:vMerge w:val="continue"/>
            <w:vAlign w:val="top"/>
          </w:tcPr>
          <w:p>
            <w:pPr>
              <w:widowControl w:val="0"/>
              <w:wordWrap/>
              <w:adjustRightInd/>
              <w:snapToGrid/>
              <w:spacing w:line="360" w:lineRule="exact"/>
              <w:jc w:val="center"/>
              <w:textAlignment w:val="auto"/>
              <w:rPr>
                <w:rFonts w:hint="default" w:ascii="Times New Roman" w:hAnsi="Times New Roman" w:eastAsia="宋体" w:cs="Times New Roman"/>
                <w:spacing w:val="0"/>
                <w:w w:val="100"/>
                <w:sz w:val="21"/>
                <w:szCs w:val="21"/>
                <w:lang w:val="en-US" w:eastAsia="zh-CN"/>
              </w:rPr>
            </w:pPr>
          </w:p>
        </w:tc>
        <w:tc>
          <w:tcPr>
            <w:tcW w:w="1468" w:type="dxa"/>
            <w:vAlign w:val="center"/>
          </w:tcPr>
          <w:p>
            <w:pPr>
              <w:widowControl w:val="0"/>
              <w:wordWrap/>
              <w:adjustRightInd/>
              <w:snapToGrid/>
              <w:spacing w:line="36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5.7社会效益</w:t>
            </w:r>
          </w:p>
        </w:tc>
        <w:tc>
          <w:tcPr>
            <w:tcW w:w="10755" w:type="dxa"/>
            <w:vAlign w:val="top"/>
          </w:tcPr>
          <w:p>
            <w:pPr>
              <w:widowControl w:val="0"/>
              <w:numPr>
                <w:ilvl w:val="0"/>
                <w:numId w:val="26"/>
              </w:numPr>
              <w:wordWrap/>
              <w:adjustRightInd/>
              <w:snapToGrid/>
              <w:spacing w:line="36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说明社会责任方面情况，包括社会责任规划与报告、重点支持领域、参与社会及社区公益活动，公益投入金额等。</w:t>
            </w:r>
          </w:p>
          <w:p>
            <w:pPr>
              <w:widowControl w:val="0"/>
              <w:numPr>
                <w:ilvl w:val="0"/>
                <w:numId w:val="26"/>
              </w:numPr>
              <w:wordWrap/>
              <w:adjustRightInd/>
              <w:snapToGrid/>
              <w:spacing w:line="36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说明构建和谐劳资关系（员工职业安全、员工人均年收入、员工平均工资涨幅、员工缴纳“五险一金”以及员工流动率等方面）情况。</w:t>
            </w:r>
          </w:p>
          <w:p>
            <w:pPr>
              <w:widowControl w:val="0"/>
              <w:numPr>
                <w:ilvl w:val="0"/>
                <w:numId w:val="26"/>
              </w:numPr>
              <w:wordWrap/>
              <w:adjustRightInd/>
              <w:snapToGrid/>
              <w:spacing w:line="36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说明防治和降低生产经营中排放污染物对环境产生危害的措施。</w:t>
            </w:r>
          </w:p>
          <w:p>
            <w:pPr>
              <w:widowControl w:val="0"/>
              <w:numPr>
                <w:ilvl w:val="0"/>
                <w:numId w:val="26"/>
              </w:numPr>
              <w:wordWrap/>
              <w:adjustRightInd/>
              <w:snapToGrid/>
              <w:spacing w:line="36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说明其他如疫情防控和保障产业链供应链稳定情况。</w:t>
            </w:r>
          </w:p>
        </w:tc>
        <w:tc>
          <w:tcPr>
            <w:tcW w:w="990"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931" w:type="dxa"/>
            <w:gridSpan w:val="4"/>
            <w:vAlign w:val="center"/>
          </w:tcPr>
          <w:p>
            <w:pPr>
              <w:widowControl w:val="0"/>
              <w:numPr>
                <w:ilvl w:val="0"/>
                <w:numId w:val="0"/>
              </w:numPr>
              <w:wordWrap/>
              <w:adjustRightInd/>
              <w:snapToGrid/>
              <w:spacing w:line="360" w:lineRule="exact"/>
              <w:ind w:leftChars="0"/>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合计</w:t>
            </w:r>
          </w:p>
        </w:tc>
        <w:tc>
          <w:tcPr>
            <w:tcW w:w="990"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1000分</w:t>
            </w:r>
          </w:p>
        </w:tc>
      </w:tr>
    </w:tbl>
    <w:p>
      <w:pPr>
        <w:widowControl w:val="0"/>
        <w:wordWrap/>
        <w:adjustRightInd/>
        <w:snapToGrid/>
        <w:spacing w:line="320" w:lineRule="exact"/>
        <w:jc w:val="left"/>
        <w:textAlignment w:val="auto"/>
        <w:rPr>
          <w:rFonts w:hint="eastAsia" w:ascii="Times New Roman" w:hAnsi="Times New Roman" w:eastAsia="黑体" w:cs="黑体"/>
          <w:b w:val="0"/>
          <w:bCs w:val="0"/>
          <w:spacing w:val="0"/>
          <w:w w:val="100"/>
          <w:sz w:val="32"/>
          <w:szCs w:val="32"/>
        </w:rPr>
      </w:pPr>
    </w:p>
    <w:p>
      <w:pPr>
        <w:widowControl w:val="0"/>
        <w:wordWrap/>
        <w:adjustRightInd/>
        <w:snapToGrid/>
        <w:spacing w:line="320" w:lineRule="exact"/>
        <w:jc w:val="left"/>
        <w:textAlignment w:val="auto"/>
        <w:rPr>
          <w:rFonts w:hint="eastAsia" w:ascii="Times New Roman" w:hAnsi="Times New Roman" w:eastAsia="黑体" w:cs="黑体"/>
          <w:b w:val="0"/>
          <w:bCs w:val="0"/>
          <w:spacing w:val="0"/>
          <w:w w:val="100"/>
          <w:sz w:val="32"/>
          <w:szCs w:val="32"/>
        </w:rPr>
      </w:pPr>
    </w:p>
    <w:p>
      <w:pPr>
        <w:widowControl w:val="0"/>
        <w:wordWrap/>
        <w:adjustRightInd/>
        <w:snapToGrid/>
        <w:spacing w:line="320" w:lineRule="exact"/>
        <w:jc w:val="left"/>
        <w:textAlignment w:val="auto"/>
        <w:rPr>
          <w:rFonts w:hint="eastAsia" w:ascii="Times New Roman" w:hAnsi="Times New Roman" w:eastAsia="黑体" w:cs="黑体"/>
          <w:b w:val="0"/>
          <w:bCs w:val="0"/>
          <w:spacing w:val="0"/>
          <w:w w:val="100"/>
          <w:sz w:val="32"/>
          <w:szCs w:val="32"/>
        </w:rPr>
      </w:pPr>
    </w:p>
    <w:p>
      <w:pPr>
        <w:widowControl w:val="0"/>
        <w:wordWrap/>
        <w:adjustRightInd/>
        <w:snapToGrid/>
        <w:spacing w:line="320" w:lineRule="exact"/>
        <w:jc w:val="left"/>
        <w:textAlignment w:val="auto"/>
        <w:rPr>
          <w:rFonts w:hint="eastAsia" w:ascii="Times New Roman" w:hAnsi="Times New Roman" w:eastAsia="黑体" w:cs="黑体"/>
          <w:b w:val="0"/>
          <w:bCs w:val="0"/>
          <w:spacing w:val="0"/>
          <w:w w:val="100"/>
          <w:sz w:val="32"/>
          <w:szCs w:val="32"/>
        </w:rPr>
      </w:pPr>
    </w:p>
    <w:p>
      <w:pPr>
        <w:widowControl w:val="0"/>
        <w:wordWrap/>
        <w:adjustRightInd/>
        <w:snapToGrid/>
        <w:spacing w:line="320" w:lineRule="exact"/>
        <w:jc w:val="left"/>
        <w:textAlignment w:val="auto"/>
        <w:rPr>
          <w:rFonts w:hint="eastAsia" w:ascii="Times New Roman" w:hAnsi="Times New Roman" w:eastAsia="黑体" w:cs="黑体"/>
          <w:b w:val="0"/>
          <w:bCs w:val="0"/>
          <w:spacing w:val="0"/>
          <w:w w:val="100"/>
          <w:sz w:val="32"/>
          <w:szCs w:val="32"/>
        </w:rPr>
      </w:pPr>
    </w:p>
    <w:p>
      <w:pPr>
        <w:widowControl w:val="0"/>
        <w:wordWrap/>
        <w:adjustRightInd/>
        <w:snapToGrid/>
        <w:spacing w:line="320" w:lineRule="exact"/>
        <w:jc w:val="left"/>
        <w:textAlignment w:val="auto"/>
        <w:rPr>
          <w:rFonts w:hint="eastAsia" w:ascii="Times New Roman" w:hAnsi="Times New Roman" w:eastAsia="黑体" w:cs="黑体"/>
          <w:b w:val="0"/>
          <w:bCs w:val="0"/>
          <w:spacing w:val="0"/>
          <w:w w:val="100"/>
          <w:sz w:val="32"/>
          <w:szCs w:val="32"/>
        </w:rPr>
      </w:pPr>
    </w:p>
    <w:p>
      <w:pPr>
        <w:widowControl w:val="0"/>
        <w:wordWrap/>
        <w:adjustRightInd/>
        <w:snapToGrid/>
        <w:spacing w:line="320" w:lineRule="exact"/>
        <w:jc w:val="left"/>
        <w:textAlignment w:val="auto"/>
        <w:rPr>
          <w:rFonts w:hint="eastAsia" w:ascii="Times New Roman" w:hAnsi="Times New Roman" w:eastAsia="黑体" w:cs="黑体"/>
          <w:b w:val="0"/>
          <w:bCs w:val="0"/>
          <w:spacing w:val="0"/>
          <w:w w:val="100"/>
          <w:sz w:val="32"/>
          <w:szCs w:val="32"/>
        </w:rPr>
      </w:pPr>
    </w:p>
    <w:p>
      <w:pPr>
        <w:widowControl w:val="0"/>
        <w:wordWrap/>
        <w:adjustRightInd/>
        <w:snapToGrid/>
        <w:spacing w:line="320" w:lineRule="exact"/>
        <w:jc w:val="left"/>
        <w:textAlignment w:val="auto"/>
        <w:rPr>
          <w:rFonts w:hint="eastAsia" w:ascii="Times New Roman" w:hAnsi="Times New Roman" w:eastAsia="黑体" w:cs="黑体"/>
          <w:b w:val="0"/>
          <w:bCs w:val="0"/>
          <w:spacing w:val="0"/>
          <w:w w:val="100"/>
          <w:sz w:val="32"/>
          <w:szCs w:val="32"/>
        </w:rPr>
      </w:pPr>
    </w:p>
    <w:p>
      <w:pPr>
        <w:widowControl w:val="0"/>
        <w:wordWrap/>
        <w:adjustRightInd/>
        <w:snapToGrid/>
        <w:spacing w:line="320" w:lineRule="exact"/>
        <w:jc w:val="left"/>
        <w:textAlignment w:val="auto"/>
        <w:rPr>
          <w:rFonts w:hint="eastAsia" w:ascii="Times New Roman" w:hAnsi="Times New Roman" w:eastAsia="黑体" w:cs="黑体"/>
          <w:b w:val="0"/>
          <w:bCs w:val="0"/>
          <w:spacing w:val="0"/>
          <w:w w:val="100"/>
          <w:sz w:val="32"/>
          <w:szCs w:val="32"/>
          <w:lang w:val="en-US" w:eastAsia="zh-CN"/>
        </w:rPr>
      </w:pPr>
      <w:r>
        <w:rPr>
          <w:rFonts w:hint="eastAsia" w:ascii="Times New Roman" w:hAnsi="Times New Roman" w:eastAsia="黑体" w:cs="黑体"/>
          <w:b w:val="0"/>
          <w:bCs w:val="0"/>
          <w:spacing w:val="0"/>
          <w:w w:val="100"/>
          <w:sz w:val="32"/>
          <w:szCs w:val="32"/>
        </w:rPr>
        <w:t>附件</w:t>
      </w:r>
      <w:r>
        <w:rPr>
          <w:rFonts w:hint="eastAsia" w:ascii="Times New Roman" w:hAnsi="Times New Roman" w:eastAsia="黑体" w:cs="黑体"/>
          <w:b w:val="0"/>
          <w:bCs w:val="0"/>
          <w:spacing w:val="0"/>
          <w:w w:val="100"/>
          <w:sz w:val="32"/>
          <w:szCs w:val="32"/>
          <w:lang w:val="en-US" w:eastAsia="zh-CN"/>
        </w:rPr>
        <w:t>2</w:t>
      </w:r>
    </w:p>
    <w:p>
      <w:pPr>
        <w:widowControl w:val="0"/>
        <w:wordWrap/>
        <w:adjustRightInd/>
        <w:snapToGrid/>
        <w:spacing w:line="560" w:lineRule="exact"/>
        <w:jc w:val="center"/>
        <w:textAlignment w:val="auto"/>
        <w:rPr>
          <w:rFonts w:hint="default" w:ascii="Times New Roman" w:hAnsi="Times New Roman" w:eastAsia="方正小标宋简体" w:cs="方正小标宋简体"/>
          <w:spacing w:val="0"/>
          <w:w w:val="100"/>
          <w:sz w:val="44"/>
          <w:szCs w:val="44"/>
          <w:lang w:val="en-US" w:eastAsia="zh-CN"/>
        </w:rPr>
      </w:pPr>
      <w:r>
        <w:rPr>
          <w:rFonts w:hint="eastAsia" w:ascii="Times New Roman" w:hAnsi="Times New Roman" w:eastAsia="方正小标宋简体" w:cs="方正小标宋简体"/>
          <w:spacing w:val="0"/>
          <w:w w:val="100"/>
          <w:sz w:val="44"/>
          <w:szCs w:val="44"/>
          <w:lang w:val="en-US" w:eastAsia="zh-CN"/>
        </w:rPr>
        <w:t>广东省政府质量奖评分要点（服务业）</w:t>
      </w:r>
    </w:p>
    <w:tbl>
      <w:tblPr>
        <w:tblStyle w:val="9"/>
        <w:tblW w:w="148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3"/>
        <w:gridCol w:w="1032"/>
        <w:gridCol w:w="1854"/>
        <w:gridCol w:w="9937"/>
        <w:gridCol w:w="1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3" w:type="dxa"/>
            <w:vMerge w:val="restart"/>
            <w:vAlign w:val="center"/>
          </w:tcPr>
          <w:p>
            <w:pPr>
              <w:widowControl w:val="0"/>
              <w:wordWrap/>
              <w:adjustRightInd/>
              <w:snapToGrid/>
              <w:spacing w:line="320" w:lineRule="exact"/>
              <w:jc w:val="center"/>
              <w:textAlignment w:val="auto"/>
              <w:rPr>
                <w:rFonts w:hint="eastAsia" w:ascii="黑体" w:hAnsi="黑体" w:eastAsia="黑体" w:cs="黑体"/>
                <w:spacing w:val="0"/>
                <w:w w:val="100"/>
                <w:sz w:val="21"/>
                <w:szCs w:val="21"/>
                <w:lang w:val="en-US" w:eastAsia="zh-CN"/>
              </w:rPr>
            </w:pPr>
            <w:r>
              <w:rPr>
                <w:rFonts w:hint="eastAsia" w:ascii="黑体" w:hAnsi="黑体" w:eastAsia="黑体" w:cs="黑体"/>
                <w:spacing w:val="0"/>
                <w:w w:val="100"/>
                <w:sz w:val="21"/>
                <w:szCs w:val="21"/>
                <w:lang w:val="en-US" w:eastAsia="zh-CN"/>
              </w:rPr>
              <w:t>序号</w:t>
            </w:r>
          </w:p>
        </w:tc>
        <w:tc>
          <w:tcPr>
            <w:tcW w:w="2886" w:type="dxa"/>
            <w:gridSpan w:val="2"/>
            <w:vAlign w:val="center"/>
          </w:tcPr>
          <w:p>
            <w:pPr>
              <w:widowControl w:val="0"/>
              <w:wordWrap/>
              <w:adjustRightInd/>
              <w:snapToGrid/>
              <w:spacing w:line="320" w:lineRule="exact"/>
              <w:jc w:val="center"/>
              <w:textAlignment w:val="auto"/>
              <w:rPr>
                <w:rFonts w:hint="eastAsia" w:ascii="黑体" w:hAnsi="黑体" w:eastAsia="黑体" w:cs="黑体"/>
                <w:spacing w:val="0"/>
                <w:w w:val="100"/>
                <w:sz w:val="21"/>
                <w:szCs w:val="21"/>
                <w:lang w:val="en-US" w:eastAsia="zh-CN"/>
              </w:rPr>
            </w:pPr>
            <w:r>
              <w:rPr>
                <w:rFonts w:hint="eastAsia" w:ascii="黑体" w:hAnsi="黑体" w:eastAsia="黑体" w:cs="黑体"/>
                <w:spacing w:val="0"/>
                <w:w w:val="100"/>
                <w:sz w:val="21"/>
                <w:szCs w:val="21"/>
                <w:lang w:val="en-US" w:eastAsia="zh-CN"/>
              </w:rPr>
              <w:t>评价指标</w:t>
            </w:r>
          </w:p>
        </w:tc>
        <w:tc>
          <w:tcPr>
            <w:tcW w:w="9937" w:type="dxa"/>
            <w:vMerge w:val="restart"/>
            <w:vAlign w:val="center"/>
          </w:tcPr>
          <w:p>
            <w:pPr>
              <w:widowControl w:val="0"/>
              <w:wordWrap/>
              <w:adjustRightInd/>
              <w:snapToGrid/>
              <w:spacing w:line="320" w:lineRule="exact"/>
              <w:jc w:val="center"/>
              <w:textAlignment w:val="auto"/>
              <w:rPr>
                <w:rFonts w:hint="eastAsia" w:ascii="黑体" w:hAnsi="黑体" w:eastAsia="黑体" w:cs="黑体"/>
                <w:spacing w:val="0"/>
                <w:w w:val="100"/>
                <w:sz w:val="21"/>
                <w:szCs w:val="21"/>
                <w:lang w:val="en-US" w:eastAsia="zh-CN"/>
              </w:rPr>
            </w:pPr>
            <w:r>
              <w:rPr>
                <w:rFonts w:hint="eastAsia" w:ascii="黑体" w:hAnsi="黑体" w:eastAsia="黑体" w:cs="黑体"/>
                <w:spacing w:val="0"/>
                <w:w w:val="100"/>
                <w:sz w:val="21"/>
                <w:szCs w:val="21"/>
                <w:lang w:val="en-US" w:eastAsia="zh-CN"/>
              </w:rPr>
              <w:t>评价要点</w:t>
            </w:r>
          </w:p>
        </w:tc>
        <w:tc>
          <w:tcPr>
            <w:tcW w:w="1236" w:type="dxa"/>
            <w:vMerge w:val="restart"/>
            <w:vAlign w:val="center"/>
          </w:tcPr>
          <w:p>
            <w:pPr>
              <w:widowControl w:val="0"/>
              <w:wordWrap/>
              <w:adjustRightInd/>
              <w:snapToGrid/>
              <w:spacing w:line="320" w:lineRule="exact"/>
              <w:jc w:val="center"/>
              <w:textAlignment w:val="auto"/>
              <w:rPr>
                <w:rFonts w:hint="eastAsia" w:ascii="黑体" w:hAnsi="黑体" w:eastAsia="黑体" w:cs="黑体"/>
                <w:spacing w:val="0"/>
                <w:w w:val="100"/>
                <w:sz w:val="21"/>
                <w:szCs w:val="21"/>
                <w:lang w:val="en-US" w:eastAsia="zh-CN"/>
              </w:rPr>
            </w:pPr>
            <w:r>
              <w:rPr>
                <w:rFonts w:hint="eastAsia" w:ascii="黑体" w:hAnsi="黑体" w:eastAsia="黑体" w:cs="黑体"/>
                <w:spacing w:val="0"/>
                <w:w w:val="100"/>
                <w:sz w:val="21"/>
                <w:szCs w:val="21"/>
                <w:lang w:val="en-US" w:eastAsia="zh-CN"/>
              </w:rPr>
              <w:t>评分分值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3" w:type="dxa"/>
            <w:vMerge w:val="continue"/>
            <w:vAlign w:val="center"/>
          </w:tcPr>
          <w:p>
            <w:pPr>
              <w:jc w:val="center"/>
              <w:rPr>
                <w:rFonts w:hint="eastAsia" w:ascii="黑体" w:hAnsi="黑体" w:eastAsia="黑体" w:cs="黑体"/>
                <w:spacing w:val="0"/>
                <w:w w:val="100"/>
                <w:sz w:val="21"/>
                <w:szCs w:val="21"/>
              </w:rPr>
            </w:pPr>
          </w:p>
        </w:tc>
        <w:tc>
          <w:tcPr>
            <w:tcW w:w="1032" w:type="dxa"/>
            <w:vAlign w:val="center"/>
          </w:tcPr>
          <w:p>
            <w:pPr>
              <w:widowControl w:val="0"/>
              <w:wordWrap/>
              <w:adjustRightInd/>
              <w:snapToGrid/>
              <w:spacing w:line="320" w:lineRule="exact"/>
              <w:jc w:val="center"/>
              <w:textAlignment w:val="auto"/>
              <w:rPr>
                <w:rFonts w:hint="eastAsia" w:ascii="黑体" w:hAnsi="黑体" w:eastAsia="黑体" w:cs="黑体"/>
                <w:spacing w:val="0"/>
                <w:w w:val="100"/>
                <w:sz w:val="21"/>
                <w:szCs w:val="21"/>
                <w:lang w:val="en-US" w:eastAsia="zh-CN"/>
              </w:rPr>
            </w:pPr>
            <w:r>
              <w:rPr>
                <w:rFonts w:hint="eastAsia" w:ascii="黑体" w:hAnsi="黑体" w:eastAsia="黑体" w:cs="黑体"/>
                <w:spacing w:val="0"/>
                <w:w w:val="100"/>
                <w:sz w:val="21"/>
                <w:szCs w:val="21"/>
                <w:lang w:val="en-US" w:eastAsia="zh-CN"/>
              </w:rPr>
              <w:t>一级</w:t>
            </w:r>
          </w:p>
        </w:tc>
        <w:tc>
          <w:tcPr>
            <w:tcW w:w="1854" w:type="dxa"/>
            <w:vAlign w:val="center"/>
          </w:tcPr>
          <w:p>
            <w:pPr>
              <w:widowControl w:val="0"/>
              <w:wordWrap/>
              <w:adjustRightInd/>
              <w:snapToGrid/>
              <w:spacing w:line="320" w:lineRule="exact"/>
              <w:jc w:val="center"/>
              <w:textAlignment w:val="auto"/>
              <w:rPr>
                <w:rFonts w:hint="eastAsia" w:ascii="黑体" w:hAnsi="黑体" w:eastAsia="黑体" w:cs="黑体"/>
                <w:spacing w:val="0"/>
                <w:w w:val="100"/>
                <w:sz w:val="21"/>
                <w:szCs w:val="21"/>
                <w:lang w:val="en-US" w:eastAsia="zh-CN"/>
              </w:rPr>
            </w:pPr>
            <w:r>
              <w:rPr>
                <w:rFonts w:hint="eastAsia" w:ascii="黑体" w:hAnsi="黑体" w:eastAsia="黑体" w:cs="黑体"/>
                <w:spacing w:val="0"/>
                <w:w w:val="100"/>
                <w:sz w:val="21"/>
                <w:szCs w:val="21"/>
                <w:lang w:val="en-US" w:eastAsia="zh-CN"/>
              </w:rPr>
              <w:t>二级</w:t>
            </w:r>
          </w:p>
        </w:tc>
        <w:tc>
          <w:tcPr>
            <w:tcW w:w="9937" w:type="dxa"/>
            <w:vMerge w:val="continue"/>
            <w:vAlign w:val="top"/>
          </w:tcPr>
          <w:p>
            <w:pPr>
              <w:jc w:val="center"/>
              <w:rPr>
                <w:rFonts w:hint="default" w:ascii="Times New Roman" w:hAnsi="Times New Roman" w:eastAsia="宋体" w:cs="Times New Roman"/>
                <w:spacing w:val="0"/>
                <w:w w:val="100"/>
                <w:sz w:val="21"/>
                <w:szCs w:val="21"/>
                <w:lang w:val="en-US" w:eastAsia="zh-CN"/>
              </w:rPr>
            </w:pPr>
          </w:p>
        </w:tc>
        <w:tc>
          <w:tcPr>
            <w:tcW w:w="1236" w:type="dxa"/>
            <w:vMerge w:val="continue"/>
            <w:vAlign w:val="top"/>
          </w:tcPr>
          <w:p>
            <w:pPr>
              <w:jc w:val="center"/>
              <w:rPr>
                <w:rFonts w:hint="default" w:ascii="Times New Roman" w:hAnsi="Times New Roman" w:eastAsia="宋体" w:cs="Times New Roman"/>
                <w:spacing w:val="0"/>
                <w:w w:val="10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3" w:type="dxa"/>
            <w:vMerge w:val="restart"/>
            <w:vAlign w:val="center"/>
          </w:tcPr>
          <w:p>
            <w:pPr>
              <w:numPr>
                <w:ilvl w:val="0"/>
                <w:numId w:val="0"/>
              </w:numPr>
              <w:wordWrap/>
              <w:adjustRightInd/>
              <w:snapToGrid/>
              <w:spacing w:line="320" w:lineRule="exact"/>
              <w:ind w:left="0" w:leftChars="0" w:firstLine="0" w:firstLineChars="0"/>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1</w:t>
            </w:r>
          </w:p>
        </w:tc>
        <w:tc>
          <w:tcPr>
            <w:tcW w:w="1032" w:type="dxa"/>
            <w:vMerge w:val="restart"/>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领导</w:t>
            </w:r>
          </w:p>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150分</w:t>
            </w:r>
          </w:p>
        </w:tc>
        <w:tc>
          <w:tcPr>
            <w:tcW w:w="1854"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rPr>
            </w:pPr>
            <w:r>
              <w:rPr>
                <w:rFonts w:hint="default" w:ascii="Times New Roman" w:hAnsi="Times New Roman" w:eastAsia="宋体" w:cs="Times New Roman"/>
                <w:spacing w:val="0"/>
                <w:w w:val="100"/>
                <w:sz w:val="21"/>
                <w:szCs w:val="21"/>
                <w:lang w:val="en-US" w:eastAsia="zh-CN"/>
              </w:rPr>
              <w:t>1.1企业家精神</w:t>
            </w:r>
          </w:p>
        </w:tc>
        <w:tc>
          <w:tcPr>
            <w:tcW w:w="9937" w:type="dxa"/>
            <w:vAlign w:val="top"/>
          </w:tcPr>
          <w:p>
            <w:pPr>
              <w:widowControl w:val="0"/>
              <w:numPr>
                <w:ilvl w:val="0"/>
                <w:numId w:val="0"/>
              </w:numPr>
              <w:wordWrap/>
              <w:adjustRightInd/>
              <w:snapToGrid/>
              <w:spacing w:line="320" w:lineRule="exact"/>
              <w:ind w:left="0" w:leftChars="0" w:firstLine="0"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a.如何弘扬企业家精神，引领组织高质量发展。</w:t>
            </w:r>
          </w:p>
          <w:p>
            <w:pPr>
              <w:widowControl w:val="0"/>
              <w:numPr>
                <w:ilvl w:val="0"/>
                <w:numId w:val="0"/>
              </w:numPr>
              <w:wordWrap/>
              <w:adjustRightInd/>
              <w:snapToGrid/>
              <w:spacing w:line="320" w:lineRule="exact"/>
              <w:ind w:left="0" w:leftChars="0" w:firstLine="0"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b.如何增强爱国情怀，把组织发展同国家繁荣、民族兴盛、人民幸福紧密结合在一起，主动为国担当、为国分忧。</w:t>
            </w:r>
          </w:p>
          <w:p>
            <w:pPr>
              <w:widowControl w:val="0"/>
              <w:numPr>
                <w:ilvl w:val="0"/>
                <w:numId w:val="0"/>
              </w:numPr>
              <w:wordWrap/>
              <w:adjustRightInd/>
              <w:snapToGrid/>
              <w:spacing w:line="320" w:lineRule="exact"/>
              <w:ind w:left="0" w:leftChars="0" w:firstLine="0"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c.如何拓展国际视野，并不断提高把握国际市场动向和需求特点、国际规则和国际市场开拓及防范风险等方面的能力，带动组织在更高水平的对外开放中实现更好发展，促进国内国际双循环。</w:t>
            </w:r>
          </w:p>
        </w:tc>
        <w:tc>
          <w:tcPr>
            <w:tcW w:w="1236"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3" w:type="dxa"/>
            <w:vMerge w:val="continue"/>
            <w:vAlign w:val="center"/>
          </w:tcPr>
          <w:p>
            <w:pPr>
              <w:numPr>
                <w:ilvl w:val="0"/>
                <w:numId w:val="27"/>
              </w:numPr>
              <w:wordWrap/>
              <w:adjustRightInd/>
              <w:snapToGrid/>
              <w:spacing w:line="32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1032" w:type="dxa"/>
            <w:vMerge w:val="continue"/>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p>
        </w:tc>
        <w:tc>
          <w:tcPr>
            <w:tcW w:w="1854"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1.2组织文化</w:t>
            </w:r>
          </w:p>
        </w:tc>
        <w:tc>
          <w:tcPr>
            <w:tcW w:w="9937" w:type="dxa"/>
            <w:vAlign w:val="top"/>
          </w:tcPr>
          <w:p>
            <w:pPr>
              <w:widowControl w:val="0"/>
              <w:numPr>
                <w:ilvl w:val="0"/>
                <w:numId w:val="28"/>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如何确定使命愿景和价值观，并有效贯彻落实到利益相关方（股东、员工、供应商、合作伙伴、顾客和其他利益相关方等）。</w:t>
            </w:r>
          </w:p>
          <w:p>
            <w:pPr>
              <w:widowControl w:val="0"/>
              <w:numPr>
                <w:ilvl w:val="0"/>
                <w:numId w:val="28"/>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如何建立以质量为核心的组织文化，并以其自身言行展</w:t>
            </w:r>
            <w:r>
              <w:rPr>
                <w:rFonts w:hint="default" w:ascii="Times New Roman" w:hAnsi="Times New Roman" w:eastAsia="宋体" w:cs="Times New Roman"/>
                <w:spacing w:val="0"/>
                <w:w w:val="100"/>
                <w:sz w:val="21"/>
                <w:szCs w:val="21"/>
              </w:rPr>
              <w:t>现他们的质量承诺</w:t>
            </w:r>
            <w:r>
              <w:rPr>
                <w:rFonts w:hint="default" w:ascii="Times New Roman" w:hAnsi="Times New Roman" w:eastAsia="宋体" w:cs="Times New Roman"/>
                <w:spacing w:val="0"/>
                <w:w w:val="100"/>
                <w:sz w:val="21"/>
                <w:szCs w:val="21"/>
                <w:lang w:val="en-US" w:eastAsia="zh-CN"/>
              </w:rPr>
              <w:t>。</w:t>
            </w:r>
          </w:p>
          <w:p>
            <w:pPr>
              <w:widowControl w:val="0"/>
              <w:numPr>
                <w:ilvl w:val="0"/>
                <w:numId w:val="28"/>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如何对组织文化的建设进行评估并持续改善。</w:t>
            </w:r>
          </w:p>
        </w:tc>
        <w:tc>
          <w:tcPr>
            <w:tcW w:w="1236"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3" w:type="dxa"/>
            <w:vMerge w:val="continue"/>
            <w:vAlign w:val="top"/>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rPr>
            </w:pPr>
          </w:p>
        </w:tc>
        <w:tc>
          <w:tcPr>
            <w:tcW w:w="1032" w:type="dxa"/>
            <w:vMerge w:val="continue"/>
            <w:vAlign w:val="top"/>
          </w:tcPr>
          <w:p>
            <w:pPr>
              <w:wordWrap/>
              <w:adjustRightInd/>
              <w:snapToGrid/>
              <w:spacing w:line="320" w:lineRule="exact"/>
              <w:textAlignment w:val="auto"/>
              <w:rPr>
                <w:rFonts w:hint="default" w:ascii="Times New Roman" w:hAnsi="Times New Roman" w:eastAsia="宋体" w:cs="Times New Roman"/>
                <w:spacing w:val="0"/>
                <w:w w:val="100"/>
                <w:sz w:val="21"/>
                <w:szCs w:val="21"/>
              </w:rPr>
            </w:pPr>
          </w:p>
        </w:tc>
        <w:tc>
          <w:tcPr>
            <w:tcW w:w="1854"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rPr>
            </w:pPr>
            <w:r>
              <w:rPr>
                <w:rFonts w:hint="default" w:ascii="Times New Roman" w:hAnsi="Times New Roman" w:eastAsia="宋体" w:cs="Times New Roman"/>
                <w:spacing w:val="0"/>
                <w:w w:val="100"/>
                <w:sz w:val="21"/>
                <w:szCs w:val="21"/>
                <w:lang w:val="en-US" w:eastAsia="zh-CN"/>
              </w:rPr>
              <w:t>1.3战略管理</w:t>
            </w:r>
          </w:p>
        </w:tc>
        <w:tc>
          <w:tcPr>
            <w:tcW w:w="9937" w:type="dxa"/>
            <w:vAlign w:val="top"/>
          </w:tcPr>
          <w:p>
            <w:pPr>
              <w:widowControl w:val="0"/>
              <w:numPr>
                <w:ilvl w:val="0"/>
                <w:numId w:val="29"/>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如何进行战略管理，包括质量战略、品牌战略等。</w:t>
            </w:r>
          </w:p>
          <w:p>
            <w:pPr>
              <w:widowControl w:val="0"/>
              <w:numPr>
                <w:ilvl w:val="0"/>
                <w:numId w:val="29"/>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如何制定战略目标并加以分解到组织的各个层次，并建立绩效监测、分析、评价与改进体系，确保战略目标的达成。</w:t>
            </w:r>
          </w:p>
          <w:p>
            <w:pPr>
              <w:widowControl w:val="0"/>
              <w:numPr>
                <w:ilvl w:val="0"/>
                <w:numId w:val="29"/>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如何识别创新机会并应用到战略制定和/或调整中。</w:t>
            </w:r>
          </w:p>
        </w:tc>
        <w:tc>
          <w:tcPr>
            <w:tcW w:w="1236"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3" w:type="dxa"/>
            <w:vMerge w:val="continue"/>
            <w:vAlign w:val="top"/>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rPr>
            </w:pPr>
          </w:p>
        </w:tc>
        <w:tc>
          <w:tcPr>
            <w:tcW w:w="1032" w:type="dxa"/>
            <w:vMerge w:val="continue"/>
            <w:vAlign w:val="top"/>
          </w:tcPr>
          <w:p>
            <w:pPr>
              <w:wordWrap/>
              <w:adjustRightInd/>
              <w:snapToGrid/>
              <w:spacing w:line="320" w:lineRule="exact"/>
              <w:textAlignment w:val="auto"/>
              <w:rPr>
                <w:rFonts w:hint="default" w:ascii="Times New Roman" w:hAnsi="Times New Roman" w:eastAsia="宋体" w:cs="Times New Roman"/>
                <w:spacing w:val="0"/>
                <w:w w:val="100"/>
                <w:sz w:val="21"/>
                <w:szCs w:val="21"/>
              </w:rPr>
            </w:pPr>
          </w:p>
        </w:tc>
        <w:tc>
          <w:tcPr>
            <w:tcW w:w="1854"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rPr>
            </w:pPr>
            <w:r>
              <w:rPr>
                <w:rFonts w:hint="default" w:ascii="Times New Roman" w:hAnsi="Times New Roman" w:eastAsia="宋体" w:cs="Times New Roman"/>
                <w:spacing w:val="0"/>
                <w:w w:val="100"/>
                <w:sz w:val="21"/>
                <w:szCs w:val="21"/>
                <w:lang w:val="en-US" w:eastAsia="zh-CN"/>
              </w:rPr>
              <w:t>1.4组织治理</w:t>
            </w:r>
          </w:p>
        </w:tc>
        <w:tc>
          <w:tcPr>
            <w:tcW w:w="9937" w:type="dxa"/>
            <w:vAlign w:val="top"/>
          </w:tcPr>
          <w:p>
            <w:pPr>
              <w:widowControl w:val="0"/>
              <w:numPr>
                <w:ilvl w:val="0"/>
                <w:numId w:val="30"/>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如何进行组织架构设计和治理系统建设，以激发组织活力。</w:t>
            </w:r>
          </w:p>
          <w:p>
            <w:pPr>
              <w:widowControl w:val="0"/>
              <w:numPr>
                <w:ilvl w:val="0"/>
                <w:numId w:val="30"/>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如何对组织的领导和治理机构成员的绩效及合规性进行评价，使其为决策和活动的影响承担责任。</w:t>
            </w:r>
          </w:p>
          <w:p>
            <w:pPr>
              <w:widowControl w:val="0"/>
              <w:numPr>
                <w:ilvl w:val="0"/>
                <w:numId w:val="30"/>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如何运用绩效评价结果改进自身和治理机构的有效性，以促进组织发展。</w:t>
            </w:r>
          </w:p>
        </w:tc>
        <w:tc>
          <w:tcPr>
            <w:tcW w:w="1236"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3" w:type="dxa"/>
            <w:vMerge w:val="continue"/>
            <w:vAlign w:val="top"/>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rPr>
            </w:pPr>
          </w:p>
        </w:tc>
        <w:tc>
          <w:tcPr>
            <w:tcW w:w="1032" w:type="dxa"/>
            <w:vMerge w:val="continue"/>
            <w:vAlign w:val="top"/>
          </w:tcPr>
          <w:p>
            <w:pPr>
              <w:wordWrap/>
              <w:adjustRightInd/>
              <w:snapToGrid/>
              <w:spacing w:line="320" w:lineRule="exact"/>
              <w:textAlignment w:val="auto"/>
              <w:rPr>
                <w:rFonts w:hint="default" w:ascii="Times New Roman" w:hAnsi="Times New Roman" w:eastAsia="宋体" w:cs="Times New Roman"/>
                <w:spacing w:val="0"/>
                <w:w w:val="100"/>
                <w:sz w:val="21"/>
                <w:szCs w:val="21"/>
              </w:rPr>
            </w:pPr>
          </w:p>
        </w:tc>
        <w:tc>
          <w:tcPr>
            <w:tcW w:w="1854"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rPr>
            </w:pPr>
            <w:r>
              <w:rPr>
                <w:rFonts w:hint="default" w:ascii="Times New Roman" w:hAnsi="Times New Roman" w:eastAsia="宋体" w:cs="Times New Roman"/>
                <w:spacing w:val="0"/>
                <w:w w:val="100"/>
                <w:sz w:val="21"/>
                <w:szCs w:val="21"/>
                <w:lang w:val="en-US" w:eastAsia="zh-CN"/>
              </w:rPr>
              <w:t>1.5社会责任</w:t>
            </w:r>
          </w:p>
        </w:tc>
        <w:tc>
          <w:tcPr>
            <w:tcW w:w="9937" w:type="dxa"/>
            <w:vAlign w:val="top"/>
          </w:tcPr>
          <w:p>
            <w:pPr>
              <w:widowControl w:val="0"/>
              <w:numPr>
                <w:ilvl w:val="0"/>
                <w:numId w:val="31"/>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如何履行公共责任，包括质量安全、节能环保、资源消耗、低碳发展等方面的责任。</w:t>
            </w:r>
          </w:p>
          <w:p>
            <w:pPr>
              <w:widowControl w:val="0"/>
              <w:numPr>
                <w:ilvl w:val="0"/>
                <w:numId w:val="31"/>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如何树立法治意识、契约精神、守约观念，并建立道德规范和实施质量诚信体系。</w:t>
            </w:r>
          </w:p>
          <w:p>
            <w:pPr>
              <w:widowControl w:val="0"/>
              <w:numPr>
                <w:ilvl w:val="0"/>
                <w:numId w:val="31"/>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如何进行公益支持，包括关爱员工（稳岗就业、关心员工健康、同员工携手渡过难关）、</w:t>
            </w:r>
            <w:r>
              <w:rPr>
                <w:rFonts w:hint="default" w:ascii="Times New Roman" w:hAnsi="Times New Roman" w:eastAsia="宋体" w:cs="Times New Roman"/>
                <w:spacing w:val="0"/>
                <w:w w:val="100"/>
                <w:sz w:val="21"/>
                <w:szCs w:val="21"/>
              </w:rPr>
              <w:t>参加社会组织</w:t>
            </w:r>
            <w:r>
              <w:rPr>
                <w:rFonts w:hint="default" w:ascii="Times New Roman" w:hAnsi="Times New Roman" w:eastAsia="宋体" w:cs="Times New Roman"/>
                <w:spacing w:val="0"/>
                <w:w w:val="100"/>
                <w:sz w:val="21"/>
                <w:szCs w:val="21"/>
                <w:lang w:eastAsia="zh-CN"/>
              </w:rPr>
              <w:t>（</w:t>
            </w:r>
            <w:r>
              <w:rPr>
                <w:rFonts w:hint="default" w:ascii="Times New Roman" w:hAnsi="Times New Roman" w:eastAsia="宋体" w:cs="Times New Roman"/>
                <w:spacing w:val="0"/>
                <w:w w:val="100"/>
                <w:sz w:val="21"/>
                <w:szCs w:val="21"/>
                <w:lang w:val="en-US" w:eastAsia="zh-CN"/>
              </w:rPr>
              <w:t>担任一定职务</w:t>
            </w:r>
            <w:r>
              <w:rPr>
                <w:rFonts w:hint="default" w:ascii="Times New Roman" w:hAnsi="Times New Roman" w:eastAsia="宋体" w:cs="Times New Roman"/>
                <w:spacing w:val="0"/>
                <w:w w:val="100"/>
                <w:sz w:val="21"/>
                <w:szCs w:val="21"/>
                <w:lang w:eastAsia="zh-CN"/>
              </w:rPr>
              <w:t>）、</w:t>
            </w:r>
            <w:r>
              <w:rPr>
                <w:rFonts w:hint="default" w:ascii="Times New Roman" w:hAnsi="Times New Roman" w:eastAsia="宋体" w:cs="Times New Roman"/>
                <w:spacing w:val="0"/>
                <w:w w:val="100"/>
                <w:sz w:val="21"/>
                <w:szCs w:val="21"/>
              </w:rPr>
              <w:t>发挥</w:t>
            </w:r>
            <w:r>
              <w:rPr>
                <w:rFonts w:hint="default" w:ascii="Times New Roman" w:hAnsi="Times New Roman" w:eastAsia="宋体" w:cs="Times New Roman"/>
                <w:spacing w:val="0"/>
                <w:w w:val="100"/>
                <w:sz w:val="21"/>
                <w:szCs w:val="21"/>
                <w:lang w:val="en-US" w:eastAsia="zh-CN"/>
              </w:rPr>
              <w:t>行业</w:t>
            </w:r>
            <w:r>
              <w:rPr>
                <w:rFonts w:hint="default" w:ascii="Times New Roman" w:hAnsi="Times New Roman" w:eastAsia="宋体" w:cs="Times New Roman"/>
                <w:spacing w:val="0"/>
                <w:w w:val="100"/>
                <w:sz w:val="21"/>
                <w:szCs w:val="21"/>
              </w:rPr>
              <w:t>引领作用</w:t>
            </w:r>
            <w:r>
              <w:rPr>
                <w:rFonts w:hint="default" w:ascii="Times New Roman" w:hAnsi="Times New Roman" w:eastAsia="宋体" w:cs="Times New Roman"/>
                <w:spacing w:val="0"/>
                <w:w w:val="100"/>
                <w:sz w:val="21"/>
                <w:szCs w:val="21"/>
                <w:lang w:eastAsia="zh-CN"/>
              </w:rPr>
              <w:t>、</w:t>
            </w:r>
            <w:r>
              <w:rPr>
                <w:rFonts w:hint="default" w:ascii="Times New Roman" w:hAnsi="Times New Roman" w:eastAsia="宋体" w:cs="Times New Roman"/>
                <w:spacing w:val="0"/>
                <w:w w:val="100"/>
                <w:sz w:val="21"/>
                <w:szCs w:val="21"/>
                <w:lang w:val="en-US" w:eastAsia="zh-CN"/>
              </w:rPr>
              <w:t>以及</w:t>
            </w:r>
            <w:r>
              <w:rPr>
                <w:rFonts w:hint="default" w:ascii="Times New Roman" w:hAnsi="Times New Roman" w:eastAsia="宋体" w:cs="Times New Roman"/>
                <w:spacing w:val="0"/>
                <w:w w:val="100"/>
                <w:sz w:val="21"/>
                <w:szCs w:val="21"/>
              </w:rPr>
              <w:t>参加社区活动</w:t>
            </w:r>
            <w:r>
              <w:rPr>
                <w:rFonts w:hint="default" w:ascii="Times New Roman" w:hAnsi="Times New Roman" w:eastAsia="宋体" w:cs="Times New Roman"/>
                <w:spacing w:val="0"/>
                <w:w w:val="100"/>
                <w:sz w:val="21"/>
                <w:szCs w:val="21"/>
                <w:lang w:val="en-US" w:eastAsia="zh-CN"/>
              </w:rPr>
              <w:t>并营造重视质量、关注质量和享受质量的氛围。</w:t>
            </w:r>
          </w:p>
        </w:tc>
        <w:tc>
          <w:tcPr>
            <w:tcW w:w="1236"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3" w:type="dxa"/>
            <w:vMerge w:val="restart"/>
            <w:vAlign w:val="center"/>
          </w:tcPr>
          <w:p>
            <w:pPr>
              <w:numPr>
                <w:ilvl w:val="0"/>
                <w:numId w:val="0"/>
              </w:numPr>
              <w:wordWrap/>
              <w:adjustRightInd/>
              <w:snapToGrid/>
              <w:spacing w:line="320" w:lineRule="exact"/>
              <w:ind w:left="0" w:leftChars="0" w:firstLine="0" w:firstLineChars="0"/>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2</w:t>
            </w:r>
          </w:p>
        </w:tc>
        <w:tc>
          <w:tcPr>
            <w:tcW w:w="1032" w:type="dxa"/>
            <w:vMerge w:val="restart"/>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质量</w:t>
            </w:r>
          </w:p>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300分</w:t>
            </w:r>
          </w:p>
        </w:tc>
        <w:tc>
          <w:tcPr>
            <w:tcW w:w="1854"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2.1管理体系</w:t>
            </w:r>
          </w:p>
        </w:tc>
        <w:tc>
          <w:tcPr>
            <w:tcW w:w="9937" w:type="dxa"/>
            <w:vAlign w:val="top"/>
          </w:tcPr>
          <w:p>
            <w:pPr>
              <w:widowControl w:val="0"/>
              <w:numPr>
                <w:ilvl w:val="0"/>
                <w:numId w:val="32"/>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如何进行组织管理体系的建设和融合，如质量、环境、职业健康安全、能源、风险、诚信、知识产权、创新或合规性管理等体系的建立、实施、保持和融合。</w:t>
            </w:r>
          </w:p>
          <w:p>
            <w:pPr>
              <w:widowControl w:val="0"/>
              <w:numPr>
                <w:ilvl w:val="0"/>
                <w:numId w:val="32"/>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如何运用新一代信息技术对组织的物流、资金流和信息流进行有效控制和管理，以增强组织竞争力。</w:t>
            </w:r>
          </w:p>
          <w:p>
            <w:pPr>
              <w:widowControl w:val="0"/>
              <w:numPr>
                <w:ilvl w:val="0"/>
                <w:numId w:val="32"/>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如何对这些管理体系的建设、运行和融合进行监测和评审，并不断提高其有效性和效率。</w:t>
            </w:r>
          </w:p>
        </w:tc>
        <w:tc>
          <w:tcPr>
            <w:tcW w:w="1236"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3" w:type="dxa"/>
            <w:vMerge w:val="continue"/>
            <w:vAlign w:val="center"/>
          </w:tcPr>
          <w:p>
            <w:pPr>
              <w:numPr>
                <w:ilvl w:val="0"/>
                <w:numId w:val="2"/>
              </w:numPr>
              <w:wordWrap/>
              <w:adjustRightInd/>
              <w:snapToGrid/>
              <w:spacing w:line="32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1032" w:type="dxa"/>
            <w:vMerge w:val="continue"/>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rPr>
            </w:pPr>
          </w:p>
        </w:tc>
        <w:tc>
          <w:tcPr>
            <w:tcW w:w="1854"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2.2顾客需求</w:t>
            </w:r>
          </w:p>
        </w:tc>
        <w:tc>
          <w:tcPr>
            <w:tcW w:w="9937" w:type="dxa"/>
            <w:vAlign w:val="top"/>
          </w:tcPr>
          <w:p>
            <w:pPr>
              <w:widowControl w:val="0"/>
              <w:numPr>
                <w:ilvl w:val="0"/>
                <w:numId w:val="33"/>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识别并确定顾客及其他利益相关方的需求和期望，包括质量、安全、健康、知情权、选择权、补偿权、隐私权、交付期等，并将这些需求和期望转化到组织的服务和/或服务提供过程设计、创新和质量改进中。</w:t>
            </w:r>
          </w:p>
          <w:p>
            <w:pPr>
              <w:widowControl w:val="0"/>
              <w:numPr>
                <w:ilvl w:val="0"/>
                <w:numId w:val="33"/>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如何应用适宜的技术和方法有效管理顾客关系，并定期测量顾客满意度，以改进服务水平</w:t>
            </w:r>
            <w:r>
              <w:rPr>
                <w:rFonts w:hint="default" w:ascii="Times New Roman" w:hAnsi="Times New Roman" w:eastAsia="宋体" w:cs="Times New Roman"/>
                <w:spacing w:val="0"/>
                <w:w w:val="100"/>
                <w:sz w:val="21"/>
                <w:szCs w:val="21"/>
                <w:lang w:eastAsia="zh-CN"/>
              </w:rPr>
              <w:t>。</w:t>
            </w:r>
          </w:p>
          <w:p>
            <w:pPr>
              <w:widowControl w:val="0"/>
              <w:numPr>
                <w:ilvl w:val="0"/>
                <w:numId w:val="33"/>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如何快速有效的处理顾客的投诉和抱怨，并对其原因进行分析以推动组织及合作伙伴不断改进。</w:t>
            </w:r>
          </w:p>
        </w:tc>
        <w:tc>
          <w:tcPr>
            <w:tcW w:w="1236"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3" w:type="dxa"/>
            <w:vMerge w:val="continue"/>
            <w:vAlign w:val="center"/>
          </w:tcPr>
          <w:p>
            <w:pPr>
              <w:numPr>
                <w:ilvl w:val="0"/>
                <w:numId w:val="2"/>
              </w:numPr>
              <w:wordWrap/>
              <w:adjustRightInd/>
              <w:snapToGrid/>
              <w:spacing w:line="32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1032" w:type="dxa"/>
            <w:vMerge w:val="continue"/>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rPr>
            </w:pPr>
          </w:p>
        </w:tc>
        <w:tc>
          <w:tcPr>
            <w:tcW w:w="1854"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2.3质量协同</w:t>
            </w:r>
          </w:p>
        </w:tc>
        <w:tc>
          <w:tcPr>
            <w:tcW w:w="9937" w:type="dxa"/>
            <w:vAlign w:val="top"/>
          </w:tcPr>
          <w:p>
            <w:pPr>
              <w:widowControl w:val="0"/>
              <w:numPr>
                <w:ilvl w:val="0"/>
                <w:numId w:val="34"/>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如何有效进行供应链管理，以推动供应链组织之间的质量信息交流和质量改进，增强产业链自主可控能力，实现质量协同。</w:t>
            </w:r>
          </w:p>
          <w:p>
            <w:pPr>
              <w:widowControl w:val="0"/>
              <w:numPr>
                <w:ilvl w:val="0"/>
                <w:numId w:val="34"/>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如何建立关键供方质量考核和保证制度，并在供应链上下游组织复制或推广其质量管理模式、方法或制度。</w:t>
            </w:r>
          </w:p>
          <w:p>
            <w:pPr>
              <w:widowControl w:val="0"/>
              <w:numPr>
                <w:ilvl w:val="0"/>
                <w:numId w:val="34"/>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如何测量和评估供方绩效，并向供方反馈相关信息以帮助其改进。</w:t>
            </w:r>
          </w:p>
        </w:tc>
        <w:tc>
          <w:tcPr>
            <w:tcW w:w="1236"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3" w:type="dxa"/>
            <w:vMerge w:val="continue"/>
            <w:vAlign w:val="center"/>
          </w:tcPr>
          <w:p>
            <w:pPr>
              <w:numPr>
                <w:ilvl w:val="0"/>
                <w:numId w:val="2"/>
              </w:numPr>
              <w:wordWrap/>
              <w:adjustRightInd/>
              <w:snapToGrid/>
              <w:spacing w:line="32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1032" w:type="dxa"/>
            <w:vMerge w:val="continue"/>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rPr>
            </w:pPr>
          </w:p>
        </w:tc>
        <w:tc>
          <w:tcPr>
            <w:tcW w:w="1854"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2.4质量基础</w:t>
            </w:r>
          </w:p>
        </w:tc>
        <w:tc>
          <w:tcPr>
            <w:tcW w:w="9937" w:type="dxa"/>
            <w:vAlign w:val="top"/>
          </w:tcPr>
          <w:p>
            <w:pPr>
              <w:widowControl w:val="0"/>
              <w:numPr>
                <w:ilvl w:val="0"/>
                <w:numId w:val="35"/>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如何进行标准化、计量、检验检测、认证认可、知识产权等质量基础设施能力建设，并提升其管理水平。</w:t>
            </w:r>
          </w:p>
          <w:p>
            <w:pPr>
              <w:widowControl w:val="0"/>
              <w:numPr>
                <w:ilvl w:val="0"/>
                <w:numId w:val="35"/>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如何运用成熟的管理制度、方法或工具对服务现场进行质量管理，并提升服务管理的信息化、智能化或数字化水平。</w:t>
            </w:r>
          </w:p>
          <w:p>
            <w:pPr>
              <w:widowControl w:val="0"/>
              <w:numPr>
                <w:ilvl w:val="0"/>
                <w:numId w:val="35"/>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如何建立质量安全保证和风险防控机制，包括信息收集、关键风险因素识别及相关措施的制定与实施，以避免产生具有重大影响的质量安全事故。</w:t>
            </w:r>
          </w:p>
        </w:tc>
        <w:tc>
          <w:tcPr>
            <w:tcW w:w="1236"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3" w:type="dxa"/>
            <w:vMerge w:val="continue"/>
            <w:vAlign w:val="center"/>
          </w:tcPr>
          <w:p>
            <w:pPr>
              <w:numPr>
                <w:ilvl w:val="0"/>
                <w:numId w:val="2"/>
              </w:numPr>
              <w:wordWrap/>
              <w:adjustRightInd/>
              <w:snapToGrid/>
              <w:spacing w:line="32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1032" w:type="dxa"/>
            <w:vMerge w:val="continue"/>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rPr>
            </w:pPr>
          </w:p>
        </w:tc>
        <w:tc>
          <w:tcPr>
            <w:tcW w:w="1854" w:type="dxa"/>
            <w:vAlign w:val="center"/>
          </w:tcPr>
          <w:p>
            <w:pPr>
              <w:widowControl w:val="0"/>
              <w:wordWrap/>
              <w:adjustRightInd/>
              <w:snapToGrid/>
              <w:spacing w:line="34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2.5教育培训</w:t>
            </w:r>
          </w:p>
        </w:tc>
        <w:tc>
          <w:tcPr>
            <w:tcW w:w="9937" w:type="dxa"/>
            <w:vAlign w:val="top"/>
          </w:tcPr>
          <w:p>
            <w:pPr>
              <w:widowControl w:val="0"/>
              <w:numPr>
                <w:ilvl w:val="0"/>
                <w:numId w:val="36"/>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如何树立人才是第一资源的理念，激发各类人才创造活力，以推动组织可持续发展。</w:t>
            </w:r>
          </w:p>
          <w:p>
            <w:pPr>
              <w:widowControl w:val="0"/>
              <w:numPr>
                <w:ilvl w:val="0"/>
                <w:numId w:val="36"/>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如何建立员工的质量激励机制和质量考核制度，引导、鼓励和鞭策员工积极参与组织的改进和创新。</w:t>
            </w:r>
          </w:p>
          <w:p>
            <w:pPr>
              <w:widowControl w:val="0"/>
              <w:numPr>
                <w:ilvl w:val="0"/>
                <w:numId w:val="36"/>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如何开展教育培训以提升员工素质，包括开展职业技术资格认定、质量技能教育和培训等。</w:t>
            </w:r>
          </w:p>
        </w:tc>
        <w:tc>
          <w:tcPr>
            <w:tcW w:w="1236"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3" w:type="dxa"/>
            <w:vMerge w:val="continue"/>
            <w:vAlign w:val="center"/>
          </w:tcPr>
          <w:p>
            <w:pPr>
              <w:numPr>
                <w:ilvl w:val="0"/>
                <w:numId w:val="2"/>
              </w:numPr>
              <w:wordWrap/>
              <w:adjustRightInd/>
              <w:snapToGrid/>
              <w:spacing w:line="32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1032" w:type="dxa"/>
            <w:vMerge w:val="continue"/>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rPr>
            </w:pPr>
          </w:p>
        </w:tc>
        <w:tc>
          <w:tcPr>
            <w:tcW w:w="1854" w:type="dxa"/>
            <w:vAlign w:val="center"/>
          </w:tcPr>
          <w:p>
            <w:pPr>
              <w:widowControl w:val="0"/>
              <w:wordWrap/>
              <w:adjustRightInd/>
              <w:snapToGrid/>
              <w:spacing w:line="34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2.6工匠精神</w:t>
            </w:r>
          </w:p>
        </w:tc>
        <w:tc>
          <w:tcPr>
            <w:tcW w:w="9937" w:type="dxa"/>
            <w:vAlign w:val="top"/>
          </w:tcPr>
          <w:p>
            <w:pPr>
              <w:widowControl w:val="0"/>
              <w:numPr>
                <w:ilvl w:val="0"/>
                <w:numId w:val="37"/>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如何树立精雕细琢、精益求精的工匠理念，培育新时期的工匠精神，进一步提高员工素质和整体水平。</w:t>
            </w:r>
          </w:p>
          <w:p>
            <w:pPr>
              <w:widowControl w:val="0"/>
              <w:numPr>
                <w:ilvl w:val="0"/>
                <w:numId w:val="37"/>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如何发扬工匠精神，提高服务提供质量，增强组织的核心竞争力。</w:t>
            </w:r>
          </w:p>
        </w:tc>
        <w:tc>
          <w:tcPr>
            <w:tcW w:w="1236"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3" w:type="dxa"/>
            <w:vMerge w:val="continue"/>
            <w:vAlign w:val="center"/>
          </w:tcPr>
          <w:p>
            <w:pPr>
              <w:numPr>
                <w:ilvl w:val="0"/>
                <w:numId w:val="2"/>
              </w:numPr>
              <w:wordWrap/>
              <w:adjustRightInd/>
              <w:snapToGrid/>
              <w:spacing w:line="32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1032" w:type="dxa"/>
            <w:vMerge w:val="continue"/>
            <w:vAlign w:val="top"/>
          </w:tcPr>
          <w:p>
            <w:pPr>
              <w:wordWrap/>
              <w:adjustRightInd/>
              <w:snapToGrid/>
              <w:spacing w:line="320" w:lineRule="exact"/>
              <w:textAlignment w:val="auto"/>
              <w:rPr>
                <w:rFonts w:hint="default" w:ascii="Times New Roman" w:hAnsi="Times New Roman" w:eastAsia="宋体" w:cs="Times New Roman"/>
                <w:spacing w:val="0"/>
                <w:w w:val="100"/>
                <w:sz w:val="21"/>
                <w:szCs w:val="21"/>
              </w:rPr>
            </w:pPr>
          </w:p>
        </w:tc>
        <w:tc>
          <w:tcPr>
            <w:tcW w:w="1854" w:type="dxa"/>
            <w:vAlign w:val="center"/>
          </w:tcPr>
          <w:p>
            <w:pPr>
              <w:widowControl w:val="0"/>
              <w:wordWrap/>
              <w:adjustRightInd/>
              <w:snapToGrid/>
              <w:spacing w:line="36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2.7质量变革</w:t>
            </w:r>
          </w:p>
        </w:tc>
        <w:tc>
          <w:tcPr>
            <w:tcW w:w="9937" w:type="dxa"/>
            <w:vAlign w:val="top"/>
          </w:tcPr>
          <w:p>
            <w:pPr>
              <w:widowControl w:val="0"/>
              <w:numPr>
                <w:ilvl w:val="0"/>
                <w:numId w:val="38"/>
              </w:numPr>
              <w:wordWrap/>
              <w:adjustRightInd/>
              <w:snapToGrid/>
              <w:spacing w:line="36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如何提升服务提供的质量水平，并通过不断改进服务提供质量，形成独特的竞争优势和对产业链的参与优势。</w:t>
            </w:r>
          </w:p>
          <w:p>
            <w:pPr>
              <w:widowControl w:val="0"/>
              <w:numPr>
                <w:ilvl w:val="0"/>
                <w:numId w:val="38"/>
              </w:numPr>
              <w:wordWrap/>
              <w:adjustRightInd/>
              <w:snapToGrid/>
              <w:spacing w:line="36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如何改善服务质量、技能技术及管理水平等方面存在的差距，以提升产业链组织的稳定性。</w:t>
            </w:r>
          </w:p>
          <w:p>
            <w:pPr>
              <w:widowControl w:val="0"/>
              <w:numPr>
                <w:ilvl w:val="0"/>
                <w:numId w:val="38"/>
              </w:numPr>
              <w:wordWrap/>
              <w:adjustRightInd/>
              <w:snapToGrid/>
              <w:spacing w:line="360" w:lineRule="exact"/>
              <w:ind w:left="227" w:leftChars="0" w:hanging="227" w:firstLineChars="0"/>
              <w:jc w:val="both"/>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如何开展质量改进活动，包括诸如质量提升小组或跨部门质量提升或质量改进团队的建设以及质量改进工具与提升方法的应用等。</w:t>
            </w:r>
          </w:p>
        </w:tc>
        <w:tc>
          <w:tcPr>
            <w:tcW w:w="1236"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3" w:type="dxa"/>
            <w:vMerge w:val="restart"/>
            <w:vAlign w:val="center"/>
          </w:tcPr>
          <w:p>
            <w:pPr>
              <w:numPr>
                <w:ilvl w:val="0"/>
                <w:numId w:val="0"/>
              </w:numPr>
              <w:wordWrap/>
              <w:adjustRightInd/>
              <w:snapToGrid/>
              <w:spacing w:line="320" w:lineRule="exact"/>
              <w:ind w:left="0" w:leftChars="0" w:firstLine="0" w:firstLineChars="0"/>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w:t>
            </w:r>
          </w:p>
        </w:tc>
        <w:tc>
          <w:tcPr>
            <w:tcW w:w="1032" w:type="dxa"/>
            <w:vMerge w:val="restart"/>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创新</w:t>
            </w:r>
          </w:p>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200分</w:t>
            </w:r>
          </w:p>
        </w:tc>
        <w:tc>
          <w:tcPr>
            <w:tcW w:w="1854" w:type="dxa"/>
            <w:vAlign w:val="center"/>
          </w:tcPr>
          <w:p>
            <w:pPr>
              <w:widowControl w:val="0"/>
              <w:wordWrap/>
              <w:adjustRightInd/>
              <w:snapToGrid/>
              <w:spacing w:line="36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3.1动力变革</w:t>
            </w:r>
          </w:p>
        </w:tc>
        <w:tc>
          <w:tcPr>
            <w:tcW w:w="9937" w:type="dxa"/>
            <w:vAlign w:val="top"/>
          </w:tcPr>
          <w:p>
            <w:pPr>
              <w:widowControl w:val="0"/>
              <w:numPr>
                <w:ilvl w:val="0"/>
                <w:numId w:val="39"/>
              </w:numPr>
              <w:wordWrap/>
              <w:adjustRightInd/>
              <w:snapToGrid/>
              <w:spacing w:line="360" w:lineRule="exact"/>
              <w:ind w:left="227" w:leftChars="0" w:hanging="227"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创新是高质量发展的第一动力，如何将创新理念融入到组织之中，并建立、实施和保持创新管理体系，以提高组织效益和竞争优势。</w:t>
            </w:r>
          </w:p>
          <w:p>
            <w:pPr>
              <w:widowControl w:val="0"/>
              <w:numPr>
                <w:ilvl w:val="0"/>
                <w:numId w:val="39"/>
              </w:numPr>
              <w:wordWrap/>
              <w:adjustRightInd/>
              <w:snapToGrid/>
              <w:spacing w:line="360" w:lineRule="exact"/>
              <w:ind w:left="227" w:leftChars="0" w:hanging="227"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如何发现创新机会并管理创新过程，包括建立创新激励机制和管理制度等。</w:t>
            </w:r>
          </w:p>
          <w:p>
            <w:pPr>
              <w:widowControl w:val="0"/>
              <w:numPr>
                <w:ilvl w:val="0"/>
                <w:numId w:val="39"/>
              </w:numPr>
              <w:wordWrap/>
              <w:adjustRightInd/>
              <w:snapToGrid/>
              <w:spacing w:line="360" w:lineRule="exact"/>
              <w:ind w:left="227" w:leftChars="0" w:hanging="227"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如何去追求被认定为可实现/可控制的风险的机会，以及在合适的时机中断此活动以支持更优先的机会。</w:t>
            </w:r>
          </w:p>
        </w:tc>
        <w:tc>
          <w:tcPr>
            <w:tcW w:w="1236"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3" w:type="dxa"/>
            <w:vMerge w:val="continue"/>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rPr>
            </w:pPr>
          </w:p>
        </w:tc>
        <w:tc>
          <w:tcPr>
            <w:tcW w:w="1032" w:type="dxa"/>
            <w:vMerge w:val="continue"/>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rPr>
            </w:pPr>
          </w:p>
        </w:tc>
        <w:tc>
          <w:tcPr>
            <w:tcW w:w="1854"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3.2创新能力</w:t>
            </w:r>
          </w:p>
        </w:tc>
        <w:tc>
          <w:tcPr>
            <w:tcW w:w="9937" w:type="dxa"/>
            <w:vAlign w:val="top"/>
          </w:tcPr>
          <w:p>
            <w:pPr>
              <w:widowControl w:val="0"/>
              <w:numPr>
                <w:ilvl w:val="0"/>
                <w:numId w:val="40"/>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如何建设创新平台和打造科研创新团队（包括参与服务领域重大科研项目的能力），并保持创新平台的有效运行以提升组织的核心竞争力。</w:t>
            </w:r>
          </w:p>
          <w:p>
            <w:pPr>
              <w:widowControl w:val="0"/>
              <w:numPr>
                <w:ilvl w:val="0"/>
                <w:numId w:val="40"/>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如何提升服务数字化、智能化发展水平，增强个性化、多样化、柔性化服务能力。</w:t>
            </w:r>
          </w:p>
        </w:tc>
        <w:tc>
          <w:tcPr>
            <w:tcW w:w="1236"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80分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3" w:type="dxa"/>
            <w:vMerge w:val="continue"/>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p>
        </w:tc>
        <w:tc>
          <w:tcPr>
            <w:tcW w:w="1032" w:type="dxa"/>
            <w:vMerge w:val="continue"/>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p>
        </w:tc>
        <w:tc>
          <w:tcPr>
            <w:tcW w:w="1854"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3.3管理创新</w:t>
            </w:r>
          </w:p>
        </w:tc>
        <w:tc>
          <w:tcPr>
            <w:tcW w:w="9937" w:type="dxa"/>
            <w:vAlign w:val="top"/>
          </w:tcPr>
          <w:p>
            <w:pPr>
              <w:widowControl w:val="0"/>
              <w:numPr>
                <w:ilvl w:val="0"/>
                <w:numId w:val="0"/>
              </w:numPr>
              <w:wordWrap/>
              <w:adjustRightInd/>
              <w:snapToGrid/>
              <w:spacing w:line="320" w:lineRule="exact"/>
              <w:ind w:left="0" w:leftChars="0" w:firstLine="0"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a.如何根据组织的战略任务，结合服务领域的发展趋势，有组织有计划地推动管理创新，包括针对具体服务质量问题，创新管理工具和方法，以使组织的各项活动更加高效。</w:t>
            </w:r>
          </w:p>
          <w:p>
            <w:pPr>
              <w:widowControl w:val="0"/>
              <w:numPr>
                <w:ilvl w:val="0"/>
                <w:numId w:val="0"/>
              </w:numPr>
              <w:wordWrap/>
              <w:adjustRightInd/>
              <w:snapToGrid/>
              <w:spacing w:line="320" w:lineRule="exact"/>
              <w:ind w:left="0" w:leftChars="0" w:firstLine="0"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b.如何进行组织的管理模式、经营模式、商业模式创新，如基于互联网的个性化、柔性化、分布式服务。</w:t>
            </w:r>
          </w:p>
        </w:tc>
        <w:tc>
          <w:tcPr>
            <w:tcW w:w="1236"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45分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3" w:type="dxa"/>
            <w:vMerge w:val="continue"/>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p>
        </w:tc>
        <w:tc>
          <w:tcPr>
            <w:tcW w:w="1032" w:type="dxa"/>
            <w:vMerge w:val="continue"/>
            <w:vAlign w:val="top"/>
          </w:tcPr>
          <w:p>
            <w:pPr>
              <w:wordWrap/>
              <w:adjustRightInd/>
              <w:snapToGrid/>
              <w:spacing w:line="320" w:lineRule="exact"/>
              <w:textAlignment w:val="auto"/>
              <w:rPr>
                <w:rFonts w:hint="default" w:ascii="Times New Roman" w:hAnsi="Times New Roman" w:eastAsia="宋体" w:cs="Times New Roman"/>
                <w:spacing w:val="0"/>
                <w:w w:val="100"/>
                <w:sz w:val="21"/>
                <w:szCs w:val="21"/>
                <w:lang w:val="en-US" w:eastAsia="zh-CN"/>
              </w:rPr>
            </w:pPr>
          </w:p>
        </w:tc>
        <w:tc>
          <w:tcPr>
            <w:tcW w:w="1854"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3.4技术创新</w:t>
            </w:r>
          </w:p>
        </w:tc>
        <w:tc>
          <w:tcPr>
            <w:tcW w:w="9937" w:type="dxa"/>
            <w:vAlign w:val="top"/>
          </w:tcPr>
          <w:p>
            <w:pPr>
              <w:widowControl w:val="0"/>
              <w:numPr>
                <w:ilvl w:val="0"/>
                <w:numId w:val="41"/>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如何围绕组织的使命和愿景，结合政策要求和环境变化，形成组织的标准技术体系，并合理布局自身专利，保护自身的知识产权。</w:t>
            </w:r>
          </w:p>
          <w:p>
            <w:pPr>
              <w:widowControl w:val="0"/>
              <w:numPr>
                <w:ilvl w:val="0"/>
                <w:numId w:val="41"/>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如何建立、实施和保持技术评估体系，并与竞争对手和标杆进行比较分析，不断提高组织服务</w:t>
            </w:r>
            <w:r>
              <w:rPr>
                <w:rFonts w:hint="default" w:ascii="Times New Roman" w:hAnsi="Times New Roman" w:eastAsia="宋体" w:cs="Times New Roman"/>
                <w:spacing w:val="0"/>
                <w:w w:val="100"/>
                <w:sz w:val="21"/>
                <w:szCs w:val="21"/>
              </w:rPr>
              <w:t>技术水平</w:t>
            </w:r>
            <w:r>
              <w:rPr>
                <w:rFonts w:hint="default" w:ascii="Times New Roman" w:hAnsi="Times New Roman" w:eastAsia="宋体" w:cs="Times New Roman"/>
                <w:spacing w:val="0"/>
                <w:w w:val="100"/>
                <w:sz w:val="21"/>
                <w:szCs w:val="21"/>
                <w:lang w:val="en-US" w:eastAsia="zh-CN"/>
              </w:rPr>
              <w:t>。</w:t>
            </w:r>
          </w:p>
          <w:p>
            <w:pPr>
              <w:widowControl w:val="0"/>
              <w:numPr>
                <w:ilvl w:val="0"/>
                <w:numId w:val="41"/>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如何加强服务技术创新和应用，利用互联网、物联网、大数据等新一代信息技术打造关键共性技术平台，进行</w:t>
            </w:r>
            <w:r>
              <w:rPr>
                <w:rFonts w:hint="default" w:ascii="Times New Roman" w:hAnsi="Times New Roman" w:eastAsia="宋体" w:cs="Times New Roman"/>
                <w:spacing w:val="0"/>
                <w:w w:val="100"/>
                <w:sz w:val="21"/>
                <w:szCs w:val="21"/>
              </w:rPr>
              <w:t>创新</w:t>
            </w:r>
            <w:r>
              <w:rPr>
                <w:rFonts w:hint="default" w:ascii="Times New Roman" w:hAnsi="Times New Roman" w:eastAsia="宋体" w:cs="Times New Roman"/>
                <w:spacing w:val="0"/>
                <w:w w:val="100"/>
                <w:sz w:val="21"/>
                <w:szCs w:val="21"/>
                <w:lang w:val="en-US" w:eastAsia="zh-CN"/>
              </w:rPr>
              <w:t>和改进。</w:t>
            </w:r>
          </w:p>
        </w:tc>
        <w:tc>
          <w:tcPr>
            <w:tcW w:w="1236"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45分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3" w:type="dxa"/>
            <w:vMerge w:val="restart"/>
            <w:vAlign w:val="center"/>
          </w:tcPr>
          <w:p>
            <w:pPr>
              <w:numPr>
                <w:ilvl w:val="0"/>
                <w:numId w:val="0"/>
              </w:numPr>
              <w:wordWrap/>
              <w:adjustRightInd/>
              <w:snapToGrid/>
              <w:spacing w:line="320" w:lineRule="exact"/>
              <w:ind w:left="0" w:leftChars="0" w:firstLine="0" w:firstLineChars="0"/>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4</w:t>
            </w:r>
          </w:p>
        </w:tc>
        <w:tc>
          <w:tcPr>
            <w:tcW w:w="1032" w:type="dxa"/>
            <w:vMerge w:val="restart"/>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品牌</w:t>
            </w:r>
          </w:p>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100分</w:t>
            </w:r>
          </w:p>
        </w:tc>
        <w:tc>
          <w:tcPr>
            <w:tcW w:w="1854" w:type="dxa"/>
            <w:vAlign w:val="center"/>
          </w:tcPr>
          <w:p>
            <w:pPr>
              <w:widowControl w:val="0"/>
              <w:wordWrap/>
              <w:adjustRightInd/>
              <w:snapToGrid/>
              <w:spacing w:line="34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4.1品牌规划</w:t>
            </w:r>
          </w:p>
        </w:tc>
        <w:tc>
          <w:tcPr>
            <w:tcW w:w="9937" w:type="dxa"/>
            <w:vAlign w:val="top"/>
          </w:tcPr>
          <w:p>
            <w:pPr>
              <w:widowControl w:val="0"/>
              <w:numPr>
                <w:ilvl w:val="0"/>
                <w:numId w:val="42"/>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如何基于顾客的需求和期望进行品牌定位，建立以品牌核心价值和特性为中心的品牌识别系统。</w:t>
            </w:r>
          </w:p>
          <w:p>
            <w:pPr>
              <w:widowControl w:val="0"/>
              <w:numPr>
                <w:ilvl w:val="0"/>
                <w:numId w:val="42"/>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如何制定和实施品牌规划。</w:t>
            </w:r>
          </w:p>
          <w:p>
            <w:pPr>
              <w:widowControl w:val="0"/>
              <w:numPr>
                <w:ilvl w:val="0"/>
                <w:numId w:val="42"/>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如何利用组织有价值的活动提升品牌的知名度、认知度、忠诚度和美誉度。</w:t>
            </w:r>
          </w:p>
        </w:tc>
        <w:tc>
          <w:tcPr>
            <w:tcW w:w="1236"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3" w:type="dxa"/>
            <w:vMerge w:val="continue"/>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rPr>
            </w:pPr>
          </w:p>
        </w:tc>
        <w:tc>
          <w:tcPr>
            <w:tcW w:w="1032" w:type="dxa"/>
            <w:vMerge w:val="continue"/>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rPr>
            </w:pPr>
          </w:p>
        </w:tc>
        <w:tc>
          <w:tcPr>
            <w:tcW w:w="1854" w:type="dxa"/>
            <w:vAlign w:val="center"/>
          </w:tcPr>
          <w:p>
            <w:pPr>
              <w:widowControl w:val="0"/>
              <w:wordWrap/>
              <w:adjustRightInd/>
              <w:snapToGrid/>
              <w:spacing w:line="34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4.2品牌管理</w:t>
            </w:r>
          </w:p>
        </w:tc>
        <w:tc>
          <w:tcPr>
            <w:tcW w:w="9937" w:type="dxa"/>
            <w:vAlign w:val="top"/>
          </w:tcPr>
          <w:p>
            <w:pPr>
              <w:widowControl w:val="0"/>
              <w:numPr>
                <w:ilvl w:val="0"/>
                <w:numId w:val="43"/>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 xml:space="preserve">如何进行品牌管理，抓住时机进行品牌延伸扩张，并有效回避品牌延伸的风险。 </w:t>
            </w:r>
          </w:p>
          <w:p>
            <w:pPr>
              <w:widowControl w:val="0"/>
              <w:numPr>
                <w:ilvl w:val="0"/>
                <w:numId w:val="43"/>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如何预防市场垄断及倾销行为。</w:t>
            </w:r>
          </w:p>
          <w:p>
            <w:pPr>
              <w:widowControl w:val="0"/>
              <w:numPr>
                <w:ilvl w:val="0"/>
                <w:numId w:val="43"/>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如何进行品牌资产管理，实现品牌资产的保值和增值。</w:t>
            </w:r>
          </w:p>
        </w:tc>
        <w:tc>
          <w:tcPr>
            <w:tcW w:w="1236"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3" w:type="dxa"/>
            <w:vMerge w:val="continue"/>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p>
        </w:tc>
        <w:tc>
          <w:tcPr>
            <w:tcW w:w="1032" w:type="dxa"/>
            <w:vMerge w:val="continue"/>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p>
        </w:tc>
        <w:tc>
          <w:tcPr>
            <w:tcW w:w="1854" w:type="dxa"/>
            <w:vAlign w:val="center"/>
          </w:tcPr>
          <w:p>
            <w:pPr>
              <w:widowControl w:val="0"/>
              <w:wordWrap/>
              <w:adjustRightInd/>
              <w:snapToGrid/>
              <w:spacing w:line="34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4.3品牌保护</w:t>
            </w:r>
          </w:p>
        </w:tc>
        <w:tc>
          <w:tcPr>
            <w:tcW w:w="9937" w:type="dxa"/>
            <w:vAlign w:val="top"/>
          </w:tcPr>
          <w:p>
            <w:pPr>
              <w:widowControl w:val="0"/>
              <w:numPr>
                <w:ilvl w:val="0"/>
                <w:numId w:val="44"/>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如何进行品牌保护，包括组织商标国内外的注册。</w:t>
            </w:r>
          </w:p>
          <w:p>
            <w:pPr>
              <w:widowControl w:val="0"/>
              <w:numPr>
                <w:ilvl w:val="0"/>
                <w:numId w:val="44"/>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如何建立顾客投诉及快速协调解决机制，以使组织有效避免潜在的品牌风险。</w:t>
            </w:r>
          </w:p>
          <w:p>
            <w:pPr>
              <w:widowControl w:val="0"/>
              <w:numPr>
                <w:ilvl w:val="0"/>
                <w:numId w:val="44"/>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w:t>
            </w:r>
            <w:r>
              <w:rPr>
                <w:rFonts w:hint="default" w:ascii="Times New Roman" w:hAnsi="Times New Roman" w:eastAsia="宋体" w:cs="Times New Roman"/>
                <w:spacing w:val="0"/>
                <w:w w:val="100"/>
                <w:sz w:val="21"/>
                <w:szCs w:val="21"/>
              </w:rPr>
              <w:t>建立和保持品牌危机预警和应急处理系统，评估公关方案的及时性和有效性，消除或降低品牌的负面影响</w:t>
            </w:r>
            <w:r>
              <w:rPr>
                <w:rFonts w:hint="default" w:ascii="Times New Roman" w:hAnsi="Times New Roman" w:eastAsia="宋体" w:cs="Times New Roman"/>
                <w:spacing w:val="0"/>
                <w:w w:val="100"/>
                <w:sz w:val="21"/>
                <w:szCs w:val="21"/>
                <w:lang w:val="en-US" w:eastAsia="zh-CN"/>
              </w:rPr>
              <w:t>。</w:t>
            </w:r>
          </w:p>
        </w:tc>
        <w:tc>
          <w:tcPr>
            <w:tcW w:w="1236"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3" w:type="dxa"/>
            <w:vMerge w:val="restart"/>
            <w:vAlign w:val="center"/>
          </w:tcPr>
          <w:p>
            <w:pPr>
              <w:numPr>
                <w:ilvl w:val="0"/>
                <w:numId w:val="0"/>
              </w:numPr>
              <w:wordWrap/>
              <w:adjustRightInd/>
              <w:snapToGrid/>
              <w:spacing w:line="320" w:lineRule="exact"/>
              <w:ind w:left="0" w:leftChars="0" w:firstLine="0" w:firstLineChars="0"/>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w:t>
            </w:r>
          </w:p>
        </w:tc>
        <w:tc>
          <w:tcPr>
            <w:tcW w:w="1032" w:type="dxa"/>
            <w:vMerge w:val="restart"/>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效益</w:t>
            </w:r>
          </w:p>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250分</w:t>
            </w:r>
          </w:p>
        </w:tc>
        <w:tc>
          <w:tcPr>
            <w:tcW w:w="1854" w:type="dxa"/>
            <w:vAlign w:val="center"/>
          </w:tcPr>
          <w:p>
            <w:pPr>
              <w:widowControl w:val="0"/>
              <w:wordWrap/>
              <w:adjustRightInd/>
              <w:snapToGrid/>
              <w:spacing w:line="34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5.1质量水平</w:t>
            </w:r>
          </w:p>
        </w:tc>
        <w:tc>
          <w:tcPr>
            <w:tcW w:w="9937" w:type="dxa"/>
            <w:vAlign w:val="top"/>
          </w:tcPr>
          <w:p>
            <w:pPr>
              <w:widowControl w:val="0"/>
              <w:numPr>
                <w:ilvl w:val="0"/>
                <w:numId w:val="45"/>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说明服务的关键质量指标水平及提升情况。</w:t>
            </w:r>
          </w:p>
          <w:p>
            <w:pPr>
              <w:widowControl w:val="0"/>
              <w:numPr>
                <w:ilvl w:val="0"/>
                <w:numId w:val="45"/>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说明质量安全状况，如人员伤亡、质量安全事故、大规模消费者投诉举报、质量诚信不良记录等。</w:t>
            </w:r>
          </w:p>
          <w:p>
            <w:pPr>
              <w:widowControl w:val="0"/>
              <w:numPr>
                <w:ilvl w:val="0"/>
                <w:numId w:val="45"/>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说明国内外质量奖励或荣誉情况。</w:t>
            </w:r>
          </w:p>
        </w:tc>
        <w:tc>
          <w:tcPr>
            <w:tcW w:w="1236"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3" w:type="dxa"/>
            <w:vMerge w:val="continue"/>
            <w:vAlign w:val="top"/>
          </w:tcPr>
          <w:p>
            <w:pPr>
              <w:wordWrap/>
              <w:adjustRightInd/>
              <w:snapToGrid/>
              <w:spacing w:line="32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1032" w:type="dxa"/>
            <w:vMerge w:val="continue"/>
            <w:vAlign w:val="top"/>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p>
        </w:tc>
        <w:tc>
          <w:tcPr>
            <w:tcW w:w="1854" w:type="dxa"/>
            <w:vAlign w:val="center"/>
          </w:tcPr>
          <w:p>
            <w:pPr>
              <w:widowControl w:val="0"/>
              <w:wordWrap/>
              <w:adjustRightInd/>
              <w:snapToGrid/>
              <w:spacing w:line="34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5.2创新价值</w:t>
            </w:r>
          </w:p>
        </w:tc>
        <w:tc>
          <w:tcPr>
            <w:tcW w:w="9937" w:type="dxa"/>
            <w:vAlign w:val="top"/>
          </w:tcPr>
          <w:p>
            <w:pPr>
              <w:widowControl w:val="0"/>
              <w:numPr>
                <w:ilvl w:val="0"/>
                <w:numId w:val="46"/>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说明拥有的核心技术或业务引领行业发展状况，包括新业务的市场情况。</w:t>
            </w:r>
          </w:p>
          <w:p>
            <w:pPr>
              <w:widowControl w:val="0"/>
              <w:numPr>
                <w:ilvl w:val="0"/>
                <w:numId w:val="46"/>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说明核心技术或业务在增强市场竞争力方面的促进作用，如适应市场需求和突破技术壁垒以及推动科技进步、引领产业发展、保护生态环境、减少资源消耗、保障国家安全等。</w:t>
            </w:r>
          </w:p>
        </w:tc>
        <w:tc>
          <w:tcPr>
            <w:tcW w:w="1236"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3" w:type="dxa"/>
            <w:vMerge w:val="continue"/>
            <w:vAlign w:val="top"/>
          </w:tcPr>
          <w:p>
            <w:pPr>
              <w:wordWrap/>
              <w:adjustRightInd/>
              <w:snapToGrid/>
              <w:spacing w:line="32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1032" w:type="dxa"/>
            <w:vMerge w:val="continue"/>
            <w:vAlign w:val="top"/>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p>
        </w:tc>
        <w:tc>
          <w:tcPr>
            <w:tcW w:w="1854"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5.3品牌影响</w:t>
            </w:r>
          </w:p>
        </w:tc>
        <w:tc>
          <w:tcPr>
            <w:tcW w:w="9937" w:type="dxa"/>
            <w:vAlign w:val="top"/>
          </w:tcPr>
          <w:p>
            <w:pPr>
              <w:widowControl w:val="0"/>
              <w:numPr>
                <w:ilvl w:val="0"/>
                <w:numId w:val="47"/>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说明主品牌在市场的影响情况，如顾客满意度和忠诚度，品牌知名度、认知度、美誉度等。</w:t>
            </w:r>
          </w:p>
          <w:p>
            <w:pPr>
              <w:widowControl w:val="0"/>
              <w:numPr>
                <w:ilvl w:val="0"/>
                <w:numId w:val="47"/>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说明主营业务市场规模/份额变化情况。</w:t>
            </w:r>
          </w:p>
          <w:p>
            <w:pPr>
              <w:widowControl w:val="0"/>
              <w:numPr>
                <w:ilvl w:val="0"/>
                <w:numId w:val="47"/>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说明主要品牌竞争力、社会认可及品牌价值。</w:t>
            </w:r>
          </w:p>
        </w:tc>
        <w:tc>
          <w:tcPr>
            <w:tcW w:w="1236"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3" w:type="dxa"/>
            <w:vMerge w:val="continue"/>
            <w:vAlign w:val="top"/>
          </w:tcPr>
          <w:p>
            <w:pPr>
              <w:widowControl w:val="0"/>
              <w:wordWrap/>
              <w:adjustRightInd/>
              <w:snapToGrid/>
              <w:spacing w:line="38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1032" w:type="dxa"/>
            <w:vMerge w:val="continue"/>
            <w:vAlign w:val="top"/>
          </w:tcPr>
          <w:p>
            <w:pPr>
              <w:widowControl w:val="0"/>
              <w:wordWrap/>
              <w:adjustRightInd/>
              <w:snapToGrid/>
              <w:spacing w:line="380" w:lineRule="exact"/>
              <w:jc w:val="center"/>
              <w:textAlignment w:val="auto"/>
              <w:rPr>
                <w:rFonts w:hint="default" w:ascii="Times New Roman" w:hAnsi="Times New Roman" w:eastAsia="宋体" w:cs="Times New Roman"/>
                <w:spacing w:val="0"/>
                <w:w w:val="100"/>
                <w:sz w:val="21"/>
                <w:szCs w:val="21"/>
                <w:lang w:val="en-US" w:eastAsia="zh-CN"/>
              </w:rPr>
            </w:pPr>
          </w:p>
        </w:tc>
        <w:tc>
          <w:tcPr>
            <w:tcW w:w="1854" w:type="dxa"/>
            <w:vAlign w:val="center"/>
          </w:tcPr>
          <w:p>
            <w:pPr>
              <w:widowControl w:val="0"/>
              <w:wordWrap/>
              <w:adjustRightInd/>
              <w:snapToGrid/>
              <w:spacing w:line="38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5.4绿色成效</w:t>
            </w:r>
          </w:p>
        </w:tc>
        <w:tc>
          <w:tcPr>
            <w:tcW w:w="9937" w:type="dxa"/>
            <w:vAlign w:val="top"/>
          </w:tcPr>
          <w:p>
            <w:pPr>
              <w:widowControl w:val="0"/>
              <w:numPr>
                <w:ilvl w:val="0"/>
                <w:numId w:val="48"/>
              </w:numPr>
              <w:wordWrap/>
              <w:adjustRightInd/>
              <w:snapToGrid/>
              <w:spacing w:line="38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说明单位产值综合能耗/综合水耗。</w:t>
            </w:r>
          </w:p>
          <w:p>
            <w:pPr>
              <w:widowControl w:val="0"/>
              <w:numPr>
                <w:ilvl w:val="0"/>
                <w:numId w:val="48"/>
              </w:numPr>
              <w:wordWrap/>
              <w:adjustRightInd/>
              <w:snapToGrid/>
              <w:spacing w:line="38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说明可再生能源利用及占比情况。</w:t>
            </w:r>
          </w:p>
          <w:p>
            <w:pPr>
              <w:widowControl w:val="0"/>
              <w:numPr>
                <w:ilvl w:val="0"/>
                <w:numId w:val="48"/>
              </w:numPr>
              <w:wordWrap/>
              <w:adjustRightInd/>
              <w:snapToGrid/>
              <w:spacing w:line="38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说明单位产值二氧化碳排放量及发展趋势。</w:t>
            </w:r>
          </w:p>
        </w:tc>
        <w:tc>
          <w:tcPr>
            <w:tcW w:w="1236"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3" w:type="dxa"/>
            <w:vMerge w:val="continue"/>
            <w:vAlign w:val="top"/>
          </w:tcPr>
          <w:p>
            <w:pPr>
              <w:widowControl w:val="0"/>
              <w:wordWrap/>
              <w:adjustRightInd/>
              <w:snapToGrid/>
              <w:spacing w:line="38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1032" w:type="dxa"/>
            <w:vMerge w:val="continue"/>
            <w:vAlign w:val="top"/>
          </w:tcPr>
          <w:p>
            <w:pPr>
              <w:widowControl w:val="0"/>
              <w:wordWrap/>
              <w:adjustRightInd/>
              <w:snapToGrid/>
              <w:spacing w:line="380" w:lineRule="exact"/>
              <w:jc w:val="center"/>
              <w:textAlignment w:val="auto"/>
              <w:rPr>
                <w:rFonts w:hint="default" w:ascii="Times New Roman" w:hAnsi="Times New Roman" w:eastAsia="宋体" w:cs="Times New Roman"/>
                <w:spacing w:val="0"/>
                <w:w w:val="100"/>
                <w:sz w:val="21"/>
                <w:szCs w:val="21"/>
                <w:lang w:val="en-US" w:eastAsia="zh-CN"/>
              </w:rPr>
            </w:pPr>
          </w:p>
        </w:tc>
        <w:tc>
          <w:tcPr>
            <w:tcW w:w="1854" w:type="dxa"/>
            <w:vAlign w:val="center"/>
          </w:tcPr>
          <w:p>
            <w:pPr>
              <w:widowControl w:val="0"/>
              <w:wordWrap/>
              <w:adjustRightInd/>
              <w:snapToGrid/>
              <w:spacing w:line="38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5.5效率变革</w:t>
            </w:r>
          </w:p>
        </w:tc>
        <w:tc>
          <w:tcPr>
            <w:tcW w:w="9937" w:type="dxa"/>
            <w:vAlign w:val="top"/>
          </w:tcPr>
          <w:p>
            <w:pPr>
              <w:widowControl w:val="0"/>
              <w:wordWrap/>
              <w:adjustRightInd/>
              <w:snapToGrid/>
              <w:spacing w:line="380" w:lineRule="exact"/>
              <w:textAlignment w:val="auto"/>
              <w:rPr>
                <w:rFonts w:hint="default" w:ascii="Times New Roman" w:hAnsi="Times New Roman" w:eastAsia="宋体" w:cs="Times New Roman"/>
                <w:spacing w:val="0"/>
                <w:w w:val="100"/>
                <w:sz w:val="21"/>
                <w:szCs w:val="21"/>
              </w:rPr>
            </w:pPr>
            <w:r>
              <w:rPr>
                <w:rFonts w:hint="default" w:ascii="Times New Roman" w:hAnsi="Times New Roman" w:eastAsia="宋体" w:cs="Times New Roman"/>
                <w:spacing w:val="0"/>
                <w:w w:val="100"/>
                <w:sz w:val="21"/>
                <w:szCs w:val="21"/>
                <w:lang w:val="en-US" w:eastAsia="zh-CN"/>
              </w:rPr>
              <w:t>a.说明生产组织效率，如服务提供现场质量管理成熟度及服务提供过程</w:t>
            </w:r>
            <w:r>
              <w:rPr>
                <w:rFonts w:hint="default" w:ascii="Times New Roman" w:hAnsi="Times New Roman" w:eastAsia="宋体" w:cs="Times New Roman"/>
                <w:spacing w:val="0"/>
                <w:w w:val="100"/>
                <w:sz w:val="21"/>
                <w:szCs w:val="21"/>
              </w:rPr>
              <w:t>信息化、智能化</w:t>
            </w:r>
            <w:r>
              <w:rPr>
                <w:rFonts w:hint="default" w:ascii="Times New Roman" w:hAnsi="Times New Roman" w:eastAsia="宋体" w:cs="Times New Roman"/>
                <w:spacing w:val="0"/>
                <w:w w:val="100"/>
                <w:sz w:val="21"/>
                <w:szCs w:val="21"/>
                <w:lang w:val="en-US" w:eastAsia="zh-CN"/>
              </w:rPr>
              <w:t>和数字化水平等情况及发展趋势。</w:t>
            </w:r>
          </w:p>
          <w:p>
            <w:pPr>
              <w:widowControl w:val="0"/>
              <w:numPr>
                <w:ilvl w:val="0"/>
                <w:numId w:val="0"/>
              </w:numPr>
              <w:wordWrap/>
              <w:adjustRightInd/>
              <w:snapToGrid/>
              <w:spacing w:line="380" w:lineRule="exact"/>
              <w:ind w:left="0" w:leftChars="0" w:firstLine="0"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b.说明组织运行效率如全员劳动生产率</w:t>
            </w:r>
            <w:r>
              <w:rPr>
                <w:rFonts w:hint="default" w:ascii="Times New Roman" w:hAnsi="Times New Roman" w:eastAsia="宋体" w:cs="Times New Roman"/>
                <w:color w:val="000000"/>
                <w:spacing w:val="0"/>
                <w:w w:val="100"/>
                <w:sz w:val="21"/>
                <w:szCs w:val="21"/>
                <w:lang w:val="en-US" w:eastAsia="zh-CN"/>
              </w:rPr>
              <w:t>及</w:t>
            </w:r>
            <w:r>
              <w:rPr>
                <w:rFonts w:hint="default" w:ascii="Times New Roman" w:hAnsi="Times New Roman" w:eastAsia="宋体" w:cs="Times New Roman"/>
                <w:spacing w:val="0"/>
                <w:w w:val="100"/>
                <w:sz w:val="21"/>
                <w:szCs w:val="21"/>
                <w:lang w:val="en-US" w:eastAsia="zh-CN"/>
              </w:rPr>
              <w:t>服务提供过程有效性和效率状况及发展趋势。</w:t>
            </w:r>
          </w:p>
        </w:tc>
        <w:tc>
          <w:tcPr>
            <w:tcW w:w="1236"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3" w:type="dxa"/>
            <w:vMerge w:val="continue"/>
            <w:vAlign w:val="top"/>
          </w:tcPr>
          <w:p>
            <w:pPr>
              <w:widowControl w:val="0"/>
              <w:wordWrap/>
              <w:adjustRightInd/>
              <w:snapToGrid/>
              <w:spacing w:line="38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1032" w:type="dxa"/>
            <w:vMerge w:val="continue"/>
            <w:vAlign w:val="top"/>
          </w:tcPr>
          <w:p>
            <w:pPr>
              <w:widowControl w:val="0"/>
              <w:wordWrap/>
              <w:adjustRightInd/>
              <w:snapToGrid/>
              <w:spacing w:line="380" w:lineRule="exact"/>
              <w:jc w:val="center"/>
              <w:textAlignment w:val="auto"/>
              <w:rPr>
                <w:rFonts w:hint="default" w:ascii="Times New Roman" w:hAnsi="Times New Roman" w:eastAsia="宋体" w:cs="Times New Roman"/>
                <w:spacing w:val="0"/>
                <w:w w:val="100"/>
                <w:sz w:val="21"/>
                <w:szCs w:val="21"/>
                <w:lang w:val="en-US" w:eastAsia="zh-CN"/>
              </w:rPr>
            </w:pPr>
          </w:p>
        </w:tc>
        <w:tc>
          <w:tcPr>
            <w:tcW w:w="1854" w:type="dxa"/>
            <w:vAlign w:val="center"/>
          </w:tcPr>
          <w:p>
            <w:pPr>
              <w:widowControl w:val="0"/>
              <w:wordWrap/>
              <w:adjustRightInd/>
              <w:snapToGrid/>
              <w:spacing w:line="38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5.6经济效益</w:t>
            </w:r>
          </w:p>
        </w:tc>
        <w:tc>
          <w:tcPr>
            <w:tcW w:w="9937" w:type="dxa"/>
            <w:vAlign w:val="top"/>
          </w:tcPr>
          <w:p>
            <w:pPr>
              <w:widowControl w:val="0"/>
              <w:numPr>
                <w:ilvl w:val="0"/>
                <w:numId w:val="49"/>
              </w:numPr>
              <w:wordWrap/>
              <w:adjustRightInd/>
              <w:snapToGrid/>
              <w:spacing w:line="38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说明主营业务收入占比、营业收入利润率、净利润、人均利润额及纳税状况等。</w:t>
            </w:r>
          </w:p>
          <w:p>
            <w:pPr>
              <w:widowControl w:val="0"/>
              <w:numPr>
                <w:ilvl w:val="0"/>
                <w:numId w:val="49"/>
              </w:numPr>
              <w:wordWrap/>
              <w:adjustRightInd/>
              <w:snapToGrid/>
              <w:spacing w:line="38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说明资产负债率、创汇总额、总资产贡献率、资本保值增值率、流动资产周转率、成本费用利润率等。</w:t>
            </w:r>
          </w:p>
        </w:tc>
        <w:tc>
          <w:tcPr>
            <w:tcW w:w="1236"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3" w:type="dxa"/>
            <w:vMerge w:val="continue"/>
            <w:vAlign w:val="top"/>
          </w:tcPr>
          <w:p>
            <w:pPr>
              <w:widowControl w:val="0"/>
              <w:wordWrap/>
              <w:adjustRightInd/>
              <w:snapToGrid/>
              <w:spacing w:line="38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1032" w:type="dxa"/>
            <w:vMerge w:val="continue"/>
            <w:vAlign w:val="top"/>
          </w:tcPr>
          <w:p>
            <w:pPr>
              <w:widowControl w:val="0"/>
              <w:wordWrap/>
              <w:adjustRightInd/>
              <w:snapToGrid/>
              <w:spacing w:line="380" w:lineRule="exact"/>
              <w:jc w:val="center"/>
              <w:textAlignment w:val="auto"/>
              <w:rPr>
                <w:rFonts w:hint="default" w:ascii="Times New Roman" w:hAnsi="Times New Roman" w:eastAsia="宋体" w:cs="Times New Roman"/>
                <w:spacing w:val="0"/>
                <w:w w:val="100"/>
                <w:sz w:val="21"/>
                <w:szCs w:val="21"/>
                <w:lang w:val="en-US" w:eastAsia="zh-CN"/>
              </w:rPr>
            </w:pPr>
          </w:p>
        </w:tc>
        <w:tc>
          <w:tcPr>
            <w:tcW w:w="1854" w:type="dxa"/>
            <w:vAlign w:val="center"/>
          </w:tcPr>
          <w:p>
            <w:pPr>
              <w:widowControl w:val="0"/>
              <w:wordWrap/>
              <w:adjustRightInd/>
              <w:snapToGrid/>
              <w:spacing w:line="38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5.7社会效益</w:t>
            </w:r>
          </w:p>
        </w:tc>
        <w:tc>
          <w:tcPr>
            <w:tcW w:w="9937" w:type="dxa"/>
            <w:vAlign w:val="top"/>
          </w:tcPr>
          <w:p>
            <w:pPr>
              <w:widowControl w:val="0"/>
              <w:numPr>
                <w:ilvl w:val="0"/>
                <w:numId w:val="50"/>
              </w:numPr>
              <w:wordWrap/>
              <w:adjustRightInd/>
              <w:snapToGrid/>
              <w:spacing w:line="38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说明社会责任方面情况，包括社会责任规划与报告、重点支持领域、参与社会及社区公益活动，公益投入金额等。</w:t>
            </w:r>
          </w:p>
          <w:p>
            <w:pPr>
              <w:widowControl w:val="0"/>
              <w:numPr>
                <w:ilvl w:val="0"/>
                <w:numId w:val="50"/>
              </w:numPr>
              <w:wordWrap/>
              <w:adjustRightInd/>
              <w:snapToGrid/>
              <w:spacing w:line="38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说明构建和谐劳资关系（员工职业安全、员工人均年收入、员工平均工资涨幅、员工缴纳“五险一金”以及员工流动率等方面）情况。</w:t>
            </w:r>
          </w:p>
          <w:p>
            <w:pPr>
              <w:widowControl w:val="0"/>
              <w:numPr>
                <w:ilvl w:val="0"/>
                <w:numId w:val="50"/>
              </w:numPr>
              <w:wordWrap/>
              <w:adjustRightInd/>
              <w:snapToGrid/>
              <w:spacing w:line="38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说明防治和降低生产经营中排放污染物对环境产生危害的措施。</w:t>
            </w:r>
          </w:p>
          <w:p>
            <w:pPr>
              <w:widowControl w:val="0"/>
              <w:numPr>
                <w:ilvl w:val="0"/>
                <w:numId w:val="50"/>
              </w:numPr>
              <w:wordWrap/>
              <w:adjustRightInd/>
              <w:snapToGrid/>
              <w:spacing w:line="38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说明其他如疫情防控和保障产业链供应链稳定情况。</w:t>
            </w:r>
          </w:p>
        </w:tc>
        <w:tc>
          <w:tcPr>
            <w:tcW w:w="1236"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566" w:type="dxa"/>
            <w:gridSpan w:val="4"/>
            <w:vAlign w:val="center"/>
          </w:tcPr>
          <w:p>
            <w:pPr>
              <w:widowControl w:val="0"/>
              <w:numPr>
                <w:ilvl w:val="0"/>
                <w:numId w:val="0"/>
              </w:numPr>
              <w:wordWrap/>
              <w:adjustRightInd/>
              <w:snapToGrid/>
              <w:spacing w:line="360" w:lineRule="exact"/>
              <w:ind w:leftChars="0"/>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合计</w:t>
            </w:r>
          </w:p>
        </w:tc>
        <w:tc>
          <w:tcPr>
            <w:tcW w:w="1236" w:type="dxa"/>
            <w:vAlign w:val="center"/>
          </w:tcPr>
          <w:p>
            <w:pPr>
              <w:widowControl w:val="0"/>
              <w:wordWrap/>
              <w:adjustRightInd/>
              <w:snapToGrid/>
              <w:spacing w:line="36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1000分</w:t>
            </w:r>
          </w:p>
        </w:tc>
      </w:tr>
    </w:tbl>
    <w:p>
      <w:pPr>
        <w:wordWrap/>
        <w:adjustRightInd/>
        <w:snapToGrid/>
        <w:spacing w:line="320" w:lineRule="exact"/>
        <w:textAlignment w:val="auto"/>
        <w:rPr>
          <w:rFonts w:hint="eastAsia" w:ascii="Times New Roman" w:hAnsi="Times New Roman" w:eastAsia="黑体" w:cs="黑体"/>
          <w:b w:val="0"/>
          <w:bCs w:val="0"/>
          <w:spacing w:val="0"/>
          <w:w w:val="100"/>
          <w:sz w:val="32"/>
          <w:szCs w:val="32"/>
        </w:rPr>
      </w:pPr>
    </w:p>
    <w:p>
      <w:pPr>
        <w:wordWrap/>
        <w:adjustRightInd/>
        <w:snapToGrid/>
        <w:spacing w:line="320" w:lineRule="exact"/>
        <w:textAlignment w:val="auto"/>
        <w:rPr>
          <w:rFonts w:hint="eastAsia" w:ascii="Times New Roman" w:hAnsi="Times New Roman" w:eastAsia="黑体" w:cs="黑体"/>
          <w:b w:val="0"/>
          <w:bCs w:val="0"/>
          <w:sz w:val="32"/>
          <w:szCs w:val="32"/>
        </w:rPr>
      </w:pPr>
    </w:p>
    <w:p>
      <w:pPr>
        <w:wordWrap/>
        <w:adjustRightInd/>
        <w:snapToGrid/>
        <w:spacing w:line="320" w:lineRule="exact"/>
        <w:textAlignment w:val="auto"/>
        <w:rPr>
          <w:rFonts w:hint="eastAsia" w:ascii="Times New Roman" w:hAnsi="Times New Roman" w:eastAsia="黑体" w:cs="黑体"/>
          <w:b w:val="0"/>
          <w:bCs w:val="0"/>
          <w:sz w:val="32"/>
          <w:szCs w:val="32"/>
        </w:rPr>
      </w:pPr>
    </w:p>
    <w:p>
      <w:pPr>
        <w:wordWrap/>
        <w:adjustRightInd/>
        <w:snapToGrid/>
        <w:spacing w:line="320" w:lineRule="exact"/>
        <w:textAlignment w:val="auto"/>
        <w:rPr>
          <w:rFonts w:hint="eastAsia" w:ascii="Times New Roman" w:hAnsi="Times New Roman" w:eastAsia="黑体" w:cs="黑体"/>
          <w:b w:val="0"/>
          <w:bCs w:val="0"/>
          <w:sz w:val="32"/>
          <w:szCs w:val="32"/>
        </w:rPr>
      </w:pPr>
    </w:p>
    <w:p>
      <w:pPr>
        <w:wordWrap/>
        <w:adjustRightInd/>
        <w:snapToGrid/>
        <w:spacing w:line="320" w:lineRule="exact"/>
        <w:textAlignment w:val="auto"/>
        <w:rPr>
          <w:rFonts w:hint="eastAsia" w:ascii="Times New Roman" w:hAnsi="Times New Roman" w:eastAsia="黑体" w:cs="黑体"/>
          <w:b w:val="0"/>
          <w:bCs w:val="0"/>
          <w:sz w:val="32"/>
          <w:szCs w:val="32"/>
        </w:rPr>
      </w:pPr>
    </w:p>
    <w:p>
      <w:pPr>
        <w:wordWrap/>
        <w:adjustRightInd/>
        <w:snapToGrid/>
        <w:spacing w:line="320" w:lineRule="exact"/>
        <w:textAlignment w:val="auto"/>
        <w:rPr>
          <w:rFonts w:hint="eastAsia" w:ascii="Times New Roman" w:hAnsi="Times New Roman" w:eastAsia="黑体" w:cs="黑体"/>
          <w:b w:val="0"/>
          <w:bCs w:val="0"/>
          <w:sz w:val="32"/>
          <w:szCs w:val="32"/>
        </w:rPr>
      </w:pPr>
    </w:p>
    <w:p>
      <w:pPr>
        <w:wordWrap/>
        <w:adjustRightInd/>
        <w:snapToGrid/>
        <w:spacing w:line="320" w:lineRule="exact"/>
        <w:textAlignment w:val="auto"/>
        <w:rPr>
          <w:rFonts w:hint="eastAsia" w:ascii="Times New Roman" w:hAnsi="Times New Roman" w:eastAsia="黑体" w:cs="黑体"/>
          <w:b w:val="0"/>
          <w:bCs w:val="0"/>
          <w:sz w:val="32"/>
          <w:szCs w:val="32"/>
        </w:rPr>
      </w:pPr>
    </w:p>
    <w:p>
      <w:pPr>
        <w:wordWrap/>
        <w:adjustRightInd/>
        <w:snapToGrid/>
        <w:spacing w:line="320" w:lineRule="exact"/>
        <w:textAlignment w:val="auto"/>
        <w:rPr>
          <w:rFonts w:hint="eastAsia" w:ascii="Times New Roman" w:hAnsi="Times New Roman" w:eastAsia="黑体" w:cs="黑体"/>
          <w:b w:val="0"/>
          <w:bCs w:val="0"/>
          <w:sz w:val="32"/>
          <w:szCs w:val="32"/>
        </w:rPr>
      </w:pPr>
    </w:p>
    <w:p>
      <w:pPr>
        <w:wordWrap/>
        <w:adjustRightInd/>
        <w:snapToGrid/>
        <w:spacing w:line="320" w:lineRule="exact"/>
        <w:textAlignment w:val="auto"/>
        <w:rPr>
          <w:rFonts w:hint="eastAsia" w:ascii="Times New Roman" w:hAnsi="Times New Roman"/>
          <w:sz w:val="36"/>
          <w:szCs w:val="36"/>
          <w:lang w:val="en-US" w:eastAsia="zh-CN"/>
        </w:rPr>
      </w:pPr>
      <w:r>
        <w:rPr>
          <w:rFonts w:hint="eastAsia" w:ascii="Times New Roman" w:hAnsi="Times New Roman" w:eastAsia="黑体" w:cs="黑体"/>
          <w:b w:val="0"/>
          <w:bCs w:val="0"/>
          <w:sz w:val="32"/>
          <w:szCs w:val="32"/>
        </w:rPr>
        <w:t>附件</w:t>
      </w:r>
      <w:r>
        <w:rPr>
          <w:rFonts w:hint="eastAsia" w:ascii="Times New Roman" w:hAnsi="Times New Roman" w:eastAsia="黑体" w:cs="黑体"/>
          <w:b w:val="0"/>
          <w:bCs w:val="0"/>
          <w:sz w:val="32"/>
          <w:szCs w:val="32"/>
          <w:lang w:val="en-US" w:eastAsia="zh-CN"/>
        </w:rPr>
        <w:t>3</w:t>
      </w:r>
    </w:p>
    <w:p>
      <w:pPr>
        <w:widowControl w:val="0"/>
        <w:wordWrap/>
        <w:adjustRightInd/>
        <w:snapToGrid/>
        <w:spacing w:line="600" w:lineRule="exact"/>
        <w:jc w:val="center"/>
        <w:textAlignment w:val="auto"/>
        <w:rPr>
          <w:rFonts w:hint="default" w:ascii="Times New Roman" w:hAnsi="Times New Roman" w:eastAsia="方正小标宋简体" w:cs="方正小标宋简体"/>
          <w:sz w:val="44"/>
          <w:szCs w:val="44"/>
          <w:lang w:val="en-US" w:eastAsia="zh-CN"/>
        </w:rPr>
      </w:pPr>
      <w:r>
        <w:rPr>
          <w:rFonts w:hint="eastAsia" w:ascii="Times New Roman" w:hAnsi="Times New Roman" w:eastAsia="方正小标宋简体" w:cs="方正小标宋简体"/>
          <w:sz w:val="44"/>
          <w:szCs w:val="44"/>
          <w:lang w:val="en-US" w:eastAsia="zh-CN"/>
        </w:rPr>
        <w:t>广东省政府质量奖评分要点（工程建设业）</w:t>
      </w:r>
    </w:p>
    <w:tbl>
      <w:tblPr>
        <w:tblStyle w:val="9"/>
        <w:tblW w:w="149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2"/>
        <w:gridCol w:w="1038"/>
        <w:gridCol w:w="2153"/>
        <w:gridCol w:w="9717"/>
        <w:gridCol w:w="1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2" w:type="dxa"/>
            <w:vMerge w:val="restart"/>
            <w:vAlign w:val="center"/>
          </w:tcPr>
          <w:p>
            <w:pPr>
              <w:widowControl w:val="0"/>
              <w:wordWrap/>
              <w:adjustRightInd/>
              <w:snapToGrid/>
              <w:spacing w:line="300" w:lineRule="exact"/>
              <w:jc w:val="center"/>
              <w:textAlignment w:val="auto"/>
              <w:rPr>
                <w:rFonts w:hint="eastAsia" w:ascii="黑体" w:hAnsi="黑体" w:eastAsia="黑体" w:cs="黑体"/>
                <w:spacing w:val="0"/>
                <w:w w:val="100"/>
                <w:sz w:val="21"/>
                <w:szCs w:val="21"/>
                <w:lang w:val="en-US" w:eastAsia="zh-CN"/>
              </w:rPr>
            </w:pPr>
            <w:r>
              <w:rPr>
                <w:rFonts w:hint="eastAsia" w:ascii="黑体" w:hAnsi="黑体" w:eastAsia="黑体" w:cs="黑体"/>
                <w:spacing w:val="0"/>
                <w:w w:val="100"/>
                <w:sz w:val="21"/>
                <w:szCs w:val="21"/>
                <w:lang w:val="en-US" w:eastAsia="zh-CN"/>
              </w:rPr>
              <w:t>序号</w:t>
            </w:r>
          </w:p>
        </w:tc>
        <w:tc>
          <w:tcPr>
            <w:tcW w:w="3191" w:type="dxa"/>
            <w:gridSpan w:val="2"/>
            <w:vAlign w:val="center"/>
          </w:tcPr>
          <w:p>
            <w:pPr>
              <w:widowControl w:val="0"/>
              <w:wordWrap/>
              <w:adjustRightInd/>
              <w:snapToGrid/>
              <w:spacing w:line="300" w:lineRule="exact"/>
              <w:jc w:val="center"/>
              <w:textAlignment w:val="auto"/>
              <w:rPr>
                <w:rFonts w:hint="eastAsia" w:ascii="黑体" w:hAnsi="黑体" w:eastAsia="黑体" w:cs="黑体"/>
                <w:spacing w:val="0"/>
                <w:w w:val="100"/>
                <w:sz w:val="21"/>
                <w:szCs w:val="21"/>
                <w:lang w:val="en-US" w:eastAsia="zh-CN"/>
              </w:rPr>
            </w:pPr>
            <w:r>
              <w:rPr>
                <w:rFonts w:hint="eastAsia" w:ascii="黑体" w:hAnsi="黑体" w:eastAsia="黑体" w:cs="黑体"/>
                <w:spacing w:val="0"/>
                <w:w w:val="100"/>
                <w:sz w:val="21"/>
                <w:szCs w:val="21"/>
                <w:lang w:val="en-US" w:eastAsia="zh-CN"/>
              </w:rPr>
              <w:t>评价指标</w:t>
            </w:r>
          </w:p>
        </w:tc>
        <w:tc>
          <w:tcPr>
            <w:tcW w:w="9717" w:type="dxa"/>
            <w:vMerge w:val="restart"/>
            <w:vAlign w:val="center"/>
          </w:tcPr>
          <w:p>
            <w:pPr>
              <w:widowControl w:val="0"/>
              <w:wordWrap/>
              <w:adjustRightInd/>
              <w:snapToGrid/>
              <w:spacing w:line="300" w:lineRule="exact"/>
              <w:jc w:val="center"/>
              <w:textAlignment w:val="auto"/>
              <w:rPr>
                <w:rFonts w:hint="eastAsia" w:ascii="黑体" w:hAnsi="黑体" w:eastAsia="黑体" w:cs="黑体"/>
                <w:spacing w:val="0"/>
                <w:w w:val="100"/>
                <w:sz w:val="21"/>
                <w:szCs w:val="21"/>
                <w:lang w:val="en-US" w:eastAsia="zh-CN"/>
              </w:rPr>
            </w:pPr>
            <w:r>
              <w:rPr>
                <w:rFonts w:hint="eastAsia" w:ascii="黑体" w:hAnsi="黑体" w:eastAsia="黑体" w:cs="黑体"/>
                <w:spacing w:val="0"/>
                <w:w w:val="100"/>
                <w:sz w:val="21"/>
                <w:szCs w:val="21"/>
                <w:lang w:val="en-US" w:eastAsia="zh-CN"/>
              </w:rPr>
              <w:t>评价要点</w:t>
            </w:r>
          </w:p>
        </w:tc>
        <w:tc>
          <w:tcPr>
            <w:tcW w:w="1268" w:type="dxa"/>
            <w:vMerge w:val="restart"/>
            <w:vAlign w:val="center"/>
          </w:tcPr>
          <w:p>
            <w:pPr>
              <w:widowControl w:val="0"/>
              <w:wordWrap/>
              <w:adjustRightInd/>
              <w:snapToGrid/>
              <w:spacing w:line="300" w:lineRule="exact"/>
              <w:jc w:val="center"/>
              <w:textAlignment w:val="auto"/>
              <w:rPr>
                <w:rFonts w:hint="eastAsia" w:ascii="黑体" w:hAnsi="黑体" w:eastAsia="黑体" w:cs="黑体"/>
                <w:spacing w:val="0"/>
                <w:w w:val="100"/>
                <w:sz w:val="21"/>
                <w:szCs w:val="21"/>
                <w:lang w:val="en-US" w:eastAsia="zh-CN"/>
              </w:rPr>
            </w:pPr>
            <w:r>
              <w:rPr>
                <w:rFonts w:hint="eastAsia" w:ascii="黑体" w:hAnsi="黑体" w:eastAsia="黑体" w:cs="黑体"/>
                <w:spacing w:val="0"/>
                <w:w w:val="100"/>
                <w:sz w:val="21"/>
                <w:szCs w:val="21"/>
                <w:lang w:val="en-US" w:eastAsia="zh-CN"/>
              </w:rPr>
              <w:t>评分分值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2" w:type="dxa"/>
            <w:vMerge w:val="continue"/>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p>
        </w:tc>
        <w:tc>
          <w:tcPr>
            <w:tcW w:w="1038" w:type="dxa"/>
            <w:vAlign w:val="center"/>
          </w:tcPr>
          <w:p>
            <w:pPr>
              <w:widowControl w:val="0"/>
              <w:wordWrap/>
              <w:adjustRightInd/>
              <w:snapToGrid/>
              <w:spacing w:line="300" w:lineRule="exact"/>
              <w:jc w:val="center"/>
              <w:textAlignment w:val="auto"/>
              <w:rPr>
                <w:rFonts w:hint="eastAsia" w:ascii="黑体" w:hAnsi="黑体" w:eastAsia="黑体" w:cs="黑体"/>
                <w:spacing w:val="0"/>
                <w:w w:val="100"/>
                <w:sz w:val="21"/>
                <w:szCs w:val="21"/>
                <w:lang w:val="en-US" w:eastAsia="zh-CN"/>
              </w:rPr>
            </w:pPr>
            <w:r>
              <w:rPr>
                <w:rFonts w:hint="eastAsia" w:ascii="黑体" w:hAnsi="黑体" w:eastAsia="黑体" w:cs="黑体"/>
                <w:spacing w:val="0"/>
                <w:w w:val="100"/>
                <w:sz w:val="21"/>
                <w:szCs w:val="21"/>
                <w:lang w:val="en-US" w:eastAsia="zh-CN"/>
              </w:rPr>
              <w:t>一级</w:t>
            </w:r>
          </w:p>
        </w:tc>
        <w:tc>
          <w:tcPr>
            <w:tcW w:w="2153" w:type="dxa"/>
            <w:vAlign w:val="center"/>
          </w:tcPr>
          <w:p>
            <w:pPr>
              <w:widowControl w:val="0"/>
              <w:wordWrap/>
              <w:adjustRightInd/>
              <w:snapToGrid/>
              <w:spacing w:line="300" w:lineRule="exact"/>
              <w:jc w:val="center"/>
              <w:textAlignment w:val="auto"/>
              <w:rPr>
                <w:rFonts w:hint="eastAsia" w:ascii="黑体" w:hAnsi="黑体" w:eastAsia="黑体" w:cs="黑体"/>
                <w:spacing w:val="0"/>
                <w:w w:val="100"/>
                <w:sz w:val="21"/>
                <w:szCs w:val="21"/>
                <w:lang w:val="en-US" w:eastAsia="zh-CN"/>
              </w:rPr>
            </w:pPr>
            <w:r>
              <w:rPr>
                <w:rFonts w:hint="eastAsia" w:ascii="黑体" w:hAnsi="黑体" w:eastAsia="黑体" w:cs="黑体"/>
                <w:spacing w:val="0"/>
                <w:w w:val="100"/>
                <w:sz w:val="21"/>
                <w:szCs w:val="21"/>
                <w:lang w:val="en-US" w:eastAsia="zh-CN"/>
              </w:rPr>
              <w:t>二级</w:t>
            </w:r>
          </w:p>
        </w:tc>
        <w:tc>
          <w:tcPr>
            <w:tcW w:w="9717" w:type="dxa"/>
            <w:vMerge w:val="continue"/>
            <w:vAlign w:val="top"/>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p>
        </w:tc>
        <w:tc>
          <w:tcPr>
            <w:tcW w:w="1268" w:type="dxa"/>
            <w:vMerge w:val="continue"/>
            <w:vAlign w:val="top"/>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2" w:type="dxa"/>
            <w:vMerge w:val="restart"/>
            <w:vAlign w:val="center"/>
          </w:tcPr>
          <w:p>
            <w:pPr>
              <w:widowControl w:val="0"/>
              <w:numPr>
                <w:ilvl w:val="0"/>
                <w:numId w:val="0"/>
              </w:numPr>
              <w:wordWrap/>
              <w:adjustRightInd/>
              <w:snapToGrid/>
              <w:spacing w:line="300" w:lineRule="exact"/>
              <w:ind w:left="0" w:leftChars="0" w:firstLine="0" w:firstLineChars="0"/>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1</w:t>
            </w:r>
          </w:p>
        </w:tc>
        <w:tc>
          <w:tcPr>
            <w:tcW w:w="1038" w:type="dxa"/>
            <w:vMerge w:val="restart"/>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领导</w:t>
            </w:r>
          </w:p>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150分</w:t>
            </w:r>
          </w:p>
        </w:tc>
        <w:tc>
          <w:tcPr>
            <w:tcW w:w="215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rPr>
            </w:pPr>
            <w:r>
              <w:rPr>
                <w:rFonts w:hint="default" w:ascii="Times New Roman" w:hAnsi="Times New Roman" w:eastAsia="宋体" w:cs="Times New Roman"/>
                <w:spacing w:val="0"/>
                <w:w w:val="100"/>
                <w:sz w:val="21"/>
                <w:szCs w:val="21"/>
                <w:lang w:val="en-US" w:eastAsia="zh-CN"/>
              </w:rPr>
              <w:t>1.1企业家精神</w:t>
            </w:r>
          </w:p>
        </w:tc>
        <w:tc>
          <w:tcPr>
            <w:tcW w:w="9717" w:type="dxa"/>
            <w:vAlign w:val="top"/>
          </w:tcPr>
          <w:p>
            <w:pPr>
              <w:widowControl w:val="0"/>
              <w:numPr>
                <w:ilvl w:val="0"/>
                <w:numId w:val="0"/>
              </w:numPr>
              <w:wordWrap/>
              <w:adjustRightInd/>
              <w:snapToGrid/>
              <w:spacing w:line="300" w:lineRule="exact"/>
              <w:ind w:left="0" w:leftChars="0" w:firstLine="0"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a.如何弘扬企业家精神，引领组织高质量发展。</w:t>
            </w:r>
          </w:p>
          <w:p>
            <w:pPr>
              <w:widowControl w:val="0"/>
              <w:numPr>
                <w:ilvl w:val="0"/>
                <w:numId w:val="0"/>
              </w:numPr>
              <w:wordWrap/>
              <w:adjustRightInd/>
              <w:snapToGrid/>
              <w:spacing w:line="300" w:lineRule="exact"/>
              <w:ind w:left="0" w:leftChars="0" w:firstLine="0"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b.如何增强爱国情怀，把组织发展同国家繁荣、民族兴盛、人民幸福紧密结合在一起，主动为国担当、为国分忧。</w:t>
            </w:r>
          </w:p>
          <w:p>
            <w:pPr>
              <w:widowControl w:val="0"/>
              <w:numPr>
                <w:ilvl w:val="0"/>
                <w:numId w:val="0"/>
              </w:numPr>
              <w:wordWrap/>
              <w:adjustRightInd/>
              <w:snapToGrid/>
              <w:spacing w:line="300" w:lineRule="exact"/>
              <w:ind w:left="0" w:leftChars="0" w:firstLine="0"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c.如何拓展国际视野，并不断提高把握国际市场动向和需求特点、国际规则和国际市场开拓及防范风险等方面的能力，带动组织在更高水平的对外开放中实现更好发展，促进国内国际双循环。</w:t>
            </w:r>
          </w:p>
        </w:tc>
        <w:tc>
          <w:tcPr>
            <w:tcW w:w="1268"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2" w:type="dxa"/>
            <w:vMerge w:val="continue"/>
            <w:vAlign w:val="center"/>
          </w:tcPr>
          <w:p>
            <w:pPr>
              <w:widowControl w:val="0"/>
              <w:numPr>
                <w:ilvl w:val="0"/>
                <w:numId w:val="51"/>
              </w:numPr>
              <w:wordWrap/>
              <w:adjustRightInd/>
              <w:snapToGrid/>
              <w:spacing w:line="30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1038" w:type="dxa"/>
            <w:vMerge w:val="continue"/>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p>
        </w:tc>
        <w:tc>
          <w:tcPr>
            <w:tcW w:w="215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1.2组织文化</w:t>
            </w:r>
          </w:p>
        </w:tc>
        <w:tc>
          <w:tcPr>
            <w:tcW w:w="9717" w:type="dxa"/>
            <w:vAlign w:val="top"/>
          </w:tcPr>
          <w:p>
            <w:pPr>
              <w:widowControl w:val="0"/>
              <w:numPr>
                <w:ilvl w:val="0"/>
                <w:numId w:val="52"/>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如何确定使命愿景和价值观，并有效贯彻落实到利益相关方（股东、员工、供应商、合作伙伴、顾客和其他利益相关方等）。</w:t>
            </w:r>
          </w:p>
          <w:p>
            <w:pPr>
              <w:widowControl w:val="0"/>
              <w:numPr>
                <w:ilvl w:val="0"/>
                <w:numId w:val="52"/>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如何建立以质量安全为核心的工程建设业组织文化，并以其自身言行展</w:t>
            </w:r>
            <w:r>
              <w:rPr>
                <w:rFonts w:hint="default" w:ascii="Times New Roman" w:hAnsi="Times New Roman" w:eastAsia="宋体" w:cs="Times New Roman"/>
                <w:spacing w:val="0"/>
                <w:w w:val="100"/>
                <w:sz w:val="21"/>
                <w:szCs w:val="21"/>
              </w:rPr>
              <w:t>现他们的质量承诺</w:t>
            </w:r>
            <w:r>
              <w:rPr>
                <w:rFonts w:hint="default" w:ascii="Times New Roman" w:hAnsi="Times New Roman" w:eastAsia="宋体" w:cs="Times New Roman"/>
                <w:spacing w:val="0"/>
                <w:w w:val="100"/>
                <w:sz w:val="21"/>
                <w:szCs w:val="21"/>
                <w:lang w:val="en-US" w:eastAsia="zh-CN"/>
              </w:rPr>
              <w:t>。</w:t>
            </w:r>
          </w:p>
          <w:p>
            <w:pPr>
              <w:widowControl w:val="0"/>
              <w:numPr>
                <w:ilvl w:val="0"/>
                <w:numId w:val="52"/>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如何对工程建设业组织文化的建设进行评估并持续改善。</w:t>
            </w:r>
          </w:p>
        </w:tc>
        <w:tc>
          <w:tcPr>
            <w:tcW w:w="1268"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2" w:type="dxa"/>
            <w:vMerge w:val="continue"/>
            <w:vAlign w:val="top"/>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rPr>
            </w:pPr>
          </w:p>
        </w:tc>
        <w:tc>
          <w:tcPr>
            <w:tcW w:w="1038" w:type="dxa"/>
            <w:vMerge w:val="continue"/>
            <w:vAlign w:val="top"/>
          </w:tcPr>
          <w:p>
            <w:pPr>
              <w:widowControl w:val="0"/>
              <w:wordWrap/>
              <w:adjustRightInd/>
              <w:snapToGrid/>
              <w:spacing w:line="300" w:lineRule="exact"/>
              <w:textAlignment w:val="auto"/>
              <w:rPr>
                <w:rFonts w:hint="default" w:ascii="Times New Roman" w:hAnsi="Times New Roman" w:eastAsia="宋体" w:cs="Times New Roman"/>
                <w:spacing w:val="0"/>
                <w:w w:val="100"/>
                <w:sz w:val="21"/>
                <w:szCs w:val="21"/>
              </w:rPr>
            </w:pPr>
          </w:p>
        </w:tc>
        <w:tc>
          <w:tcPr>
            <w:tcW w:w="215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rPr>
            </w:pPr>
            <w:r>
              <w:rPr>
                <w:rFonts w:hint="default" w:ascii="Times New Roman" w:hAnsi="Times New Roman" w:eastAsia="宋体" w:cs="Times New Roman"/>
                <w:spacing w:val="0"/>
                <w:w w:val="100"/>
                <w:sz w:val="21"/>
                <w:szCs w:val="21"/>
                <w:lang w:val="en-US" w:eastAsia="zh-CN"/>
              </w:rPr>
              <w:t>1.3战略管理</w:t>
            </w:r>
          </w:p>
        </w:tc>
        <w:tc>
          <w:tcPr>
            <w:tcW w:w="9717" w:type="dxa"/>
            <w:vAlign w:val="top"/>
          </w:tcPr>
          <w:p>
            <w:pPr>
              <w:widowControl w:val="0"/>
              <w:numPr>
                <w:ilvl w:val="0"/>
                <w:numId w:val="53"/>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如何进行战略管理，包括质量战略、品牌战略等。</w:t>
            </w:r>
          </w:p>
          <w:p>
            <w:pPr>
              <w:widowControl w:val="0"/>
              <w:numPr>
                <w:ilvl w:val="0"/>
                <w:numId w:val="53"/>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如何制定战略目标并加以分解到工程建设业组织的各个层次，并建立绩效监测、分析、评价与改进体系，确保战略目标的达成。</w:t>
            </w:r>
          </w:p>
          <w:p>
            <w:pPr>
              <w:widowControl w:val="0"/>
              <w:numPr>
                <w:ilvl w:val="0"/>
                <w:numId w:val="53"/>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如何识别创新机会并应用到战略制定和/或调整中。</w:t>
            </w:r>
          </w:p>
        </w:tc>
        <w:tc>
          <w:tcPr>
            <w:tcW w:w="1268"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2" w:type="dxa"/>
            <w:vMerge w:val="continue"/>
            <w:vAlign w:val="top"/>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rPr>
            </w:pPr>
          </w:p>
        </w:tc>
        <w:tc>
          <w:tcPr>
            <w:tcW w:w="1038" w:type="dxa"/>
            <w:vMerge w:val="continue"/>
            <w:vAlign w:val="top"/>
          </w:tcPr>
          <w:p>
            <w:pPr>
              <w:widowControl w:val="0"/>
              <w:wordWrap/>
              <w:adjustRightInd/>
              <w:snapToGrid/>
              <w:spacing w:line="300" w:lineRule="exact"/>
              <w:textAlignment w:val="auto"/>
              <w:rPr>
                <w:rFonts w:hint="default" w:ascii="Times New Roman" w:hAnsi="Times New Roman" w:eastAsia="宋体" w:cs="Times New Roman"/>
                <w:spacing w:val="0"/>
                <w:w w:val="100"/>
                <w:sz w:val="21"/>
                <w:szCs w:val="21"/>
              </w:rPr>
            </w:pPr>
          </w:p>
        </w:tc>
        <w:tc>
          <w:tcPr>
            <w:tcW w:w="215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rPr>
            </w:pPr>
            <w:r>
              <w:rPr>
                <w:rFonts w:hint="default" w:ascii="Times New Roman" w:hAnsi="Times New Roman" w:eastAsia="宋体" w:cs="Times New Roman"/>
                <w:spacing w:val="0"/>
                <w:w w:val="100"/>
                <w:sz w:val="21"/>
                <w:szCs w:val="21"/>
                <w:lang w:val="en-US" w:eastAsia="zh-CN"/>
              </w:rPr>
              <w:t>1.4组织治理</w:t>
            </w:r>
          </w:p>
        </w:tc>
        <w:tc>
          <w:tcPr>
            <w:tcW w:w="9717" w:type="dxa"/>
            <w:vAlign w:val="top"/>
          </w:tcPr>
          <w:p>
            <w:pPr>
              <w:widowControl w:val="0"/>
              <w:numPr>
                <w:ilvl w:val="0"/>
                <w:numId w:val="54"/>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如何进行组织架构设计和治理系统建设，以激发组织活力。</w:t>
            </w:r>
          </w:p>
          <w:p>
            <w:pPr>
              <w:widowControl w:val="0"/>
              <w:numPr>
                <w:ilvl w:val="0"/>
                <w:numId w:val="54"/>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如何对组织的领导和治理机构成员的绩效及合规性进行评价，使其为决策和活动的影响承担责任。</w:t>
            </w:r>
          </w:p>
          <w:p>
            <w:pPr>
              <w:widowControl w:val="0"/>
              <w:numPr>
                <w:ilvl w:val="0"/>
                <w:numId w:val="54"/>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如何运用绩效评价结果改进自身和治理机构的有效性，以促进组织发展。</w:t>
            </w:r>
          </w:p>
        </w:tc>
        <w:tc>
          <w:tcPr>
            <w:tcW w:w="1268"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2" w:type="dxa"/>
            <w:vMerge w:val="continue"/>
            <w:vAlign w:val="top"/>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rPr>
            </w:pPr>
          </w:p>
        </w:tc>
        <w:tc>
          <w:tcPr>
            <w:tcW w:w="1038" w:type="dxa"/>
            <w:vMerge w:val="continue"/>
            <w:vAlign w:val="top"/>
          </w:tcPr>
          <w:p>
            <w:pPr>
              <w:widowControl w:val="0"/>
              <w:wordWrap/>
              <w:adjustRightInd/>
              <w:snapToGrid/>
              <w:spacing w:line="300" w:lineRule="exact"/>
              <w:textAlignment w:val="auto"/>
              <w:rPr>
                <w:rFonts w:hint="default" w:ascii="Times New Roman" w:hAnsi="Times New Roman" w:eastAsia="宋体" w:cs="Times New Roman"/>
                <w:spacing w:val="0"/>
                <w:w w:val="100"/>
                <w:sz w:val="21"/>
                <w:szCs w:val="21"/>
              </w:rPr>
            </w:pPr>
          </w:p>
        </w:tc>
        <w:tc>
          <w:tcPr>
            <w:tcW w:w="215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rPr>
            </w:pPr>
            <w:r>
              <w:rPr>
                <w:rFonts w:hint="default" w:ascii="Times New Roman" w:hAnsi="Times New Roman" w:eastAsia="宋体" w:cs="Times New Roman"/>
                <w:spacing w:val="0"/>
                <w:w w:val="100"/>
                <w:sz w:val="21"/>
                <w:szCs w:val="21"/>
                <w:lang w:val="en-US" w:eastAsia="zh-CN"/>
              </w:rPr>
              <w:t>1.5社会责任</w:t>
            </w:r>
          </w:p>
        </w:tc>
        <w:tc>
          <w:tcPr>
            <w:tcW w:w="9717" w:type="dxa"/>
            <w:vAlign w:val="top"/>
          </w:tcPr>
          <w:p>
            <w:pPr>
              <w:widowControl w:val="0"/>
              <w:numPr>
                <w:ilvl w:val="0"/>
                <w:numId w:val="55"/>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如何履行公共责任，包括质量安全、节能环保、资源消耗、低碳发展等方面的责任。</w:t>
            </w:r>
          </w:p>
          <w:p>
            <w:pPr>
              <w:widowControl w:val="0"/>
              <w:numPr>
                <w:ilvl w:val="0"/>
                <w:numId w:val="55"/>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如何树立法治意识、契约精神、守约观念，并建立道德规范和实施质量诚信体系。</w:t>
            </w:r>
          </w:p>
          <w:p>
            <w:pPr>
              <w:widowControl w:val="0"/>
              <w:numPr>
                <w:ilvl w:val="0"/>
                <w:numId w:val="55"/>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如何进行公益支持，包括关爱员工（稳岗就业、关心员工健康、同员工携手渡过难关）、</w:t>
            </w:r>
            <w:r>
              <w:rPr>
                <w:rFonts w:hint="default" w:ascii="Times New Roman" w:hAnsi="Times New Roman" w:eastAsia="宋体" w:cs="Times New Roman"/>
                <w:spacing w:val="0"/>
                <w:w w:val="100"/>
                <w:sz w:val="21"/>
                <w:szCs w:val="21"/>
              </w:rPr>
              <w:t>参加社会组织</w:t>
            </w:r>
            <w:r>
              <w:rPr>
                <w:rFonts w:hint="default" w:ascii="Times New Roman" w:hAnsi="Times New Roman" w:eastAsia="宋体" w:cs="Times New Roman"/>
                <w:spacing w:val="0"/>
                <w:w w:val="100"/>
                <w:sz w:val="21"/>
                <w:szCs w:val="21"/>
                <w:lang w:eastAsia="zh-CN"/>
              </w:rPr>
              <w:t>（</w:t>
            </w:r>
            <w:r>
              <w:rPr>
                <w:rFonts w:hint="default" w:ascii="Times New Roman" w:hAnsi="Times New Roman" w:eastAsia="宋体" w:cs="Times New Roman"/>
                <w:spacing w:val="0"/>
                <w:w w:val="100"/>
                <w:sz w:val="21"/>
                <w:szCs w:val="21"/>
                <w:lang w:val="en-US" w:eastAsia="zh-CN"/>
              </w:rPr>
              <w:t>担任一定职务</w:t>
            </w:r>
            <w:r>
              <w:rPr>
                <w:rFonts w:hint="default" w:ascii="Times New Roman" w:hAnsi="Times New Roman" w:eastAsia="宋体" w:cs="Times New Roman"/>
                <w:spacing w:val="0"/>
                <w:w w:val="100"/>
                <w:sz w:val="21"/>
                <w:szCs w:val="21"/>
                <w:lang w:eastAsia="zh-CN"/>
              </w:rPr>
              <w:t>）、</w:t>
            </w:r>
            <w:r>
              <w:rPr>
                <w:rFonts w:hint="default" w:ascii="Times New Roman" w:hAnsi="Times New Roman" w:eastAsia="宋体" w:cs="Times New Roman"/>
                <w:spacing w:val="0"/>
                <w:w w:val="100"/>
                <w:sz w:val="21"/>
                <w:szCs w:val="21"/>
              </w:rPr>
              <w:t>发挥</w:t>
            </w:r>
            <w:r>
              <w:rPr>
                <w:rFonts w:hint="default" w:ascii="Times New Roman" w:hAnsi="Times New Roman" w:eastAsia="宋体" w:cs="Times New Roman"/>
                <w:spacing w:val="0"/>
                <w:w w:val="100"/>
                <w:sz w:val="21"/>
                <w:szCs w:val="21"/>
                <w:lang w:val="en-US" w:eastAsia="zh-CN"/>
              </w:rPr>
              <w:t>行业</w:t>
            </w:r>
            <w:r>
              <w:rPr>
                <w:rFonts w:hint="default" w:ascii="Times New Roman" w:hAnsi="Times New Roman" w:eastAsia="宋体" w:cs="Times New Roman"/>
                <w:spacing w:val="0"/>
                <w:w w:val="100"/>
                <w:sz w:val="21"/>
                <w:szCs w:val="21"/>
              </w:rPr>
              <w:t>引领作用</w:t>
            </w:r>
            <w:r>
              <w:rPr>
                <w:rFonts w:hint="default" w:ascii="Times New Roman" w:hAnsi="Times New Roman" w:eastAsia="宋体" w:cs="Times New Roman"/>
                <w:spacing w:val="0"/>
                <w:w w:val="100"/>
                <w:sz w:val="21"/>
                <w:szCs w:val="21"/>
                <w:lang w:eastAsia="zh-CN"/>
              </w:rPr>
              <w:t>、</w:t>
            </w:r>
            <w:r>
              <w:rPr>
                <w:rFonts w:hint="default" w:ascii="Times New Roman" w:hAnsi="Times New Roman" w:eastAsia="宋体" w:cs="Times New Roman"/>
                <w:spacing w:val="0"/>
                <w:w w:val="100"/>
                <w:sz w:val="21"/>
                <w:szCs w:val="21"/>
                <w:lang w:val="en-US" w:eastAsia="zh-CN"/>
              </w:rPr>
              <w:t>以及</w:t>
            </w:r>
            <w:r>
              <w:rPr>
                <w:rFonts w:hint="default" w:ascii="Times New Roman" w:hAnsi="Times New Roman" w:eastAsia="宋体" w:cs="Times New Roman"/>
                <w:spacing w:val="0"/>
                <w:w w:val="100"/>
                <w:sz w:val="21"/>
                <w:szCs w:val="21"/>
              </w:rPr>
              <w:t>参加社区活动</w:t>
            </w:r>
            <w:r>
              <w:rPr>
                <w:rFonts w:hint="default" w:ascii="Times New Roman" w:hAnsi="Times New Roman" w:eastAsia="宋体" w:cs="Times New Roman"/>
                <w:spacing w:val="0"/>
                <w:w w:val="100"/>
                <w:sz w:val="21"/>
                <w:szCs w:val="21"/>
                <w:lang w:val="en-US" w:eastAsia="zh-CN"/>
              </w:rPr>
              <w:t>并营造重视质量、关注质量和享受质量的氛围。</w:t>
            </w:r>
          </w:p>
        </w:tc>
        <w:tc>
          <w:tcPr>
            <w:tcW w:w="1268"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2" w:type="dxa"/>
            <w:vMerge w:val="restart"/>
            <w:vAlign w:val="center"/>
          </w:tcPr>
          <w:p>
            <w:pPr>
              <w:widowControl w:val="0"/>
              <w:numPr>
                <w:ilvl w:val="0"/>
                <w:numId w:val="0"/>
              </w:numPr>
              <w:wordWrap/>
              <w:adjustRightInd/>
              <w:snapToGrid/>
              <w:spacing w:line="300" w:lineRule="exact"/>
              <w:ind w:left="0" w:leftChars="0" w:firstLine="0" w:firstLineChars="0"/>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2</w:t>
            </w:r>
          </w:p>
        </w:tc>
        <w:tc>
          <w:tcPr>
            <w:tcW w:w="1038" w:type="dxa"/>
            <w:vMerge w:val="restart"/>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质量</w:t>
            </w:r>
          </w:p>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300分</w:t>
            </w:r>
          </w:p>
        </w:tc>
        <w:tc>
          <w:tcPr>
            <w:tcW w:w="215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2.1管理体系</w:t>
            </w:r>
          </w:p>
        </w:tc>
        <w:tc>
          <w:tcPr>
            <w:tcW w:w="9717" w:type="dxa"/>
            <w:vAlign w:val="top"/>
          </w:tcPr>
          <w:p>
            <w:pPr>
              <w:widowControl w:val="0"/>
              <w:numPr>
                <w:ilvl w:val="0"/>
                <w:numId w:val="56"/>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如何进行工程建设业组织管理体系的建设和融合，如质量、环境、职业健康安全、能源、风险、诚信、知识产权、创新或合规性管理等体系的建立、实施、保持和融合。</w:t>
            </w:r>
          </w:p>
          <w:p>
            <w:pPr>
              <w:widowControl w:val="0"/>
              <w:numPr>
                <w:ilvl w:val="0"/>
                <w:numId w:val="56"/>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如何运用互联网、物联网、大数据、云计算、5G等新一代信息技术对工程建设业组织的运行进行有效控制和管理，以增强工程建设业组织竞争力。</w:t>
            </w:r>
          </w:p>
          <w:p>
            <w:pPr>
              <w:widowControl w:val="0"/>
              <w:numPr>
                <w:ilvl w:val="0"/>
                <w:numId w:val="56"/>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如何对管理体系的建设、运行和融合进行监测和评审，并不断提高其有效性和效率。</w:t>
            </w:r>
          </w:p>
        </w:tc>
        <w:tc>
          <w:tcPr>
            <w:tcW w:w="1268"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2" w:type="dxa"/>
            <w:vMerge w:val="continue"/>
            <w:vAlign w:val="center"/>
          </w:tcPr>
          <w:p>
            <w:pPr>
              <w:widowControl w:val="0"/>
              <w:numPr>
                <w:ilvl w:val="0"/>
                <w:numId w:val="51"/>
              </w:numPr>
              <w:wordWrap/>
              <w:adjustRightInd/>
              <w:snapToGrid/>
              <w:spacing w:line="30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1038" w:type="dxa"/>
            <w:vMerge w:val="continue"/>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p>
        </w:tc>
        <w:tc>
          <w:tcPr>
            <w:tcW w:w="215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2.2顾客需求</w:t>
            </w:r>
          </w:p>
        </w:tc>
        <w:tc>
          <w:tcPr>
            <w:tcW w:w="9717" w:type="dxa"/>
            <w:vAlign w:val="top"/>
          </w:tcPr>
          <w:p>
            <w:pPr>
              <w:widowControl w:val="0"/>
              <w:numPr>
                <w:ilvl w:val="0"/>
                <w:numId w:val="57"/>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识别并确定顾客及其他利益相关方的需求和期望，包括工程质量、安全、健康、知情权、选择权、补偿权、隐私权、交付期等，并将这些需求和期望转化到工程建设、勘察和施工工艺等环节的创新和质量改进中。</w:t>
            </w:r>
          </w:p>
          <w:p>
            <w:pPr>
              <w:widowControl w:val="0"/>
              <w:numPr>
                <w:ilvl w:val="0"/>
                <w:numId w:val="57"/>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如何应用适宜的技术和方法有效管理顾客及其他利益相关方关系，并定期测量顾客及其他利益相关方满意度，以改进工程质量和服务水平</w:t>
            </w:r>
            <w:r>
              <w:rPr>
                <w:rFonts w:hint="default" w:ascii="Times New Roman" w:hAnsi="Times New Roman" w:eastAsia="宋体" w:cs="Times New Roman"/>
                <w:spacing w:val="0"/>
                <w:w w:val="100"/>
                <w:sz w:val="21"/>
                <w:szCs w:val="21"/>
                <w:lang w:eastAsia="zh-CN"/>
              </w:rPr>
              <w:t>。</w:t>
            </w:r>
          </w:p>
          <w:p>
            <w:pPr>
              <w:widowControl w:val="0"/>
              <w:numPr>
                <w:ilvl w:val="0"/>
                <w:numId w:val="57"/>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如何快速有效的处理顾客及其他利益相关方的投诉和抱怨，并对其原因进行分析以推动工程建设业组织及合作伙伴不断改进。</w:t>
            </w:r>
          </w:p>
        </w:tc>
        <w:tc>
          <w:tcPr>
            <w:tcW w:w="1268"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2" w:type="dxa"/>
            <w:vMerge w:val="continue"/>
            <w:vAlign w:val="center"/>
          </w:tcPr>
          <w:p>
            <w:pPr>
              <w:widowControl w:val="0"/>
              <w:numPr>
                <w:ilvl w:val="0"/>
                <w:numId w:val="2"/>
              </w:numPr>
              <w:wordWrap/>
              <w:adjustRightInd/>
              <w:snapToGrid/>
              <w:spacing w:line="30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1038" w:type="dxa"/>
            <w:vMerge w:val="continue"/>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rPr>
            </w:pPr>
          </w:p>
        </w:tc>
        <w:tc>
          <w:tcPr>
            <w:tcW w:w="215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2.3质量协同</w:t>
            </w:r>
          </w:p>
        </w:tc>
        <w:tc>
          <w:tcPr>
            <w:tcW w:w="9717" w:type="dxa"/>
            <w:vAlign w:val="top"/>
          </w:tcPr>
          <w:p>
            <w:pPr>
              <w:widowControl w:val="0"/>
              <w:numPr>
                <w:ilvl w:val="0"/>
                <w:numId w:val="58"/>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有效进行供应链管理，建立和实施工程建设、勘察、设计、施工、材料供应及质量检测和工程监理等相关关键供方质量考核和保证制度，并在供应链上下游组织复制或推广其质量管理模式、方法或制度，以推动供应链组织之间的质量信息交流和质量改进，增强产业链自主可控能力，实现质量协同。</w:t>
            </w:r>
          </w:p>
          <w:p>
            <w:pPr>
              <w:widowControl w:val="0"/>
              <w:numPr>
                <w:ilvl w:val="0"/>
                <w:numId w:val="58"/>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如何通过信息技术促进设计、生产、施工、运营维护等产业链联动，支持项目参与单位多方协同工作，实现建造全过程统筹管理，并建立工程建设全过程质量监管及建材</w:t>
            </w:r>
            <w:r>
              <w:rPr>
                <w:rFonts w:hint="default" w:ascii="Times New Roman" w:hAnsi="Times New Roman" w:eastAsia="宋体" w:cs="Times New Roman"/>
                <w:spacing w:val="0"/>
                <w:w w:val="100"/>
                <w:sz w:val="21"/>
                <w:szCs w:val="21"/>
              </w:rPr>
              <w:t>或主营产品的</w:t>
            </w:r>
            <w:r>
              <w:rPr>
                <w:rFonts w:hint="default" w:ascii="Times New Roman" w:hAnsi="Times New Roman" w:eastAsia="宋体" w:cs="Times New Roman"/>
                <w:spacing w:val="0"/>
                <w:w w:val="100"/>
                <w:sz w:val="21"/>
                <w:szCs w:val="21"/>
                <w:lang w:val="en-US" w:eastAsia="zh-CN"/>
              </w:rPr>
              <w:t>质量追溯机制，测量和评估供方绩效，并向供方反馈相关信息以帮助其改进。</w:t>
            </w:r>
          </w:p>
          <w:p>
            <w:pPr>
              <w:widowControl w:val="0"/>
              <w:numPr>
                <w:ilvl w:val="0"/>
                <w:numId w:val="58"/>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如何对建设工程前期阶段（如可研、初设、环评、安评、勘察等）成果进行充分分析，识别对工程质量有重大影响的重要环节和因素，并以问题为导向建立与实施建设、勘察、设计、施工等多方协同的解决控制方案。</w:t>
            </w:r>
          </w:p>
        </w:tc>
        <w:tc>
          <w:tcPr>
            <w:tcW w:w="1268"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2" w:type="dxa"/>
            <w:vMerge w:val="continue"/>
            <w:vAlign w:val="center"/>
          </w:tcPr>
          <w:p>
            <w:pPr>
              <w:widowControl w:val="0"/>
              <w:numPr>
                <w:ilvl w:val="0"/>
                <w:numId w:val="2"/>
              </w:numPr>
              <w:wordWrap/>
              <w:adjustRightInd/>
              <w:snapToGrid/>
              <w:spacing w:line="30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1038" w:type="dxa"/>
            <w:vMerge w:val="continue"/>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rPr>
            </w:pPr>
          </w:p>
        </w:tc>
        <w:tc>
          <w:tcPr>
            <w:tcW w:w="2153"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2.4质量基础</w:t>
            </w:r>
          </w:p>
        </w:tc>
        <w:tc>
          <w:tcPr>
            <w:tcW w:w="9717" w:type="dxa"/>
            <w:vAlign w:val="top"/>
          </w:tcPr>
          <w:p>
            <w:pPr>
              <w:widowControl w:val="0"/>
              <w:numPr>
                <w:ilvl w:val="0"/>
                <w:numId w:val="59"/>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如何进行标准化、计量、检验检测、认证认可、知识产权等质量基础设施能力建设，并提升其管理水平。</w:t>
            </w:r>
          </w:p>
          <w:p>
            <w:pPr>
              <w:widowControl w:val="0"/>
              <w:numPr>
                <w:ilvl w:val="0"/>
                <w:numId w:val="59"/>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如何运用成熟的管理制度、方法和/或工具对建设、勘察、设计和/或施工等生产和服务现场进行质量管理，并提升建设、勘察、设计和/或施工等生产或服务质量管理的信息化、智能化或数字化水平。</w:t>
            </w:r>
          </w:p>
          <w:p>
            <w:pPr>
              <w:widowControl w:val="0"/>
              <w:numPr>
                <w:ilvl w:val="0"/>
                <w:numId w:val="59"/>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如何建立工程质量安全保证和风险防控机制，构建主业的相关风险管理标准，包括信息收集、关键风险因素识别（包括对工程质量安全有重大影响的地质构造、特殊性岩土、不良地质、地质灾害等风险因素进行有效勘察）及设计、施工和监测控制方案等相关措施的制定与实施，以及采用新技术、新方法、新设备等手段提高精度和水平以避免产生具有重大影响的工程质量、安全、环保事故。</w:t>
            </w:r>
          </w:p>
        </w:tc>
        <w:tc>
          <w:tcPr>
            <w:tcW w:w="1268"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2" w:type="dxa"/>
            <w:vMerge w:val="continue"/>
            <w:vAlign w:val="center"/>
          </w:tcPr>
          <w:p>
            <w:pPr>
              <w:widowControl w:val="0"/>
              <w:numPr>
                <w:ilvl w:val="0"/>
                <w:numId w:val="2"/>
              </w:numPr>
              <w:wordWrap/>
              <w:adjustRightInd/>
              <w:snapToGrid/>
              <w:spacing w:line="30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1038" w:type="dxa"/>
            <w:vMerge w:val="continue"/>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rPr>
            </w:pPr>
          </w:p>
        </w:tc>
        <w:tc>
          <w:tcPr>
            <w:tcW w:w="2153"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2.5教育培训</w:t>
            </w:r>
          </w:p>
        </w:tc>
        <w:tc>
          <w:tcPr>
            <w:tcW w:w="9717" w:type="dxa"/>
            <w:vAlign w:val="top"/>
          </w:tcPr>
          <w:p>
            <w:pPr>
              <w:widowControl w:val="0"/>
              <w:numPr>
                <w:ilvl w:val="0"/>
                <w:numId w:val="60"/>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如何树立人才是第一资源的理念，激发各类人才创造活力，以推动组织可持续发展。</w:t>
            </w:r>
          </w:p>
          <w:p>
            <w:pPr>
              <w:widowControl w:val="0"/>
              <w:numPr>
                <w:ilvl w:val="0"/>
                <w:numId w:val="60"/>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如何建立员工的质量激励机制和质量考核制度，引导、鼓励和鞭策员工积极参与组织的改进和创新。</w:t>
            </w:r>
          </w:p>
          <w:p>
            <w:pPr>
              <w:widowControl w:val="0"/>
              <w:numPr>
                <w:ilvl w:val="0"/>
                <w:numId w:val="60"/>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如何开展教育培训以提升员工素质，包括开展建设、勘察、设计和/或施工等职业技术资格认定、质量技能教育和培训等。</w:t>
            </w:r>
          </w:p>
        </w:tc>
        <w:tc>
          <w:tcPr>
            <w:tcW w:w="1268"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772" w:type="dxa"/>
            <w:vMerge w:val="continue"/>
            <w:vAlign w:val="center"/>
          </w:tcPr>
          <w:p>
            <w:pPr>
              <w:widowControl w:val="0"/>
              <w:numPr>
                <w:ilvl w:val="0"/>
                <w:numId w:val="2"/>
              </w:numPr>
              <w:wordWrap/>
              <w:adjustRightInd/>
              <w:snapToGrid/>
              <w:spacing w:line="30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1038" w:type="dxa"/>
            <w:vMerge w:val="continue"/>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rPr>
            </w:pPr>
          </w:p>
        </w:tc>
        <w:tc>
          <w:tcPr>
            <w:tcW w:w="215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2.6工匠精神</w:t>
            </w:r>
          </w:p>
        </w:tc>
        <w:tc>
          <w:tcPr>
            <w:tcW w:w="9717" w:type="dxa"/>
            <w:vAlign w:val="top"/>
          </w:tcPr>
          <w:p>
            <w:pPr>
              <w:widowControl w:val="0"/>
              <w:numPr>
                <w:ilvl w:val="0"/>
                <w:numId w:val="61"/>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如何树立精雕细琢、精益求精的工作理念，培育新时期的工匠精神，进一步提高员工素质和整体水平。</w:t>
            </w:r>
          </w:p>
          <w:p>
            <w:pPr>
              <w:widowControl w:val="0"/>
              <w:numPr>
                <w:ilvl w:val="0"/>
                <w:numId w:val="61"/>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如何发扬工匠精神，提高服务提供质量，增强组织的核心竞争力。</w:t>
            </w:r>
          </w:p>
        </w:tc>
        <w:tc>
          <w:tcPr>
            <w:tcW w:w="1268"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2" w:type="dxa"/>
            <w:vMerge w:val="continue"/>
            <w:vAlign w:val="center"/>
          </w:tcPr>
          <w:p>
            <w:pPr>
              <w:widowControl w:val="0"/>
              <w:numPr>
                <w:ilvl w:val="0"/>
                <w:numId w:val="2"/>
              </w:numPr>
              <w:wordWrap/>
              <w:adjustRightInd/>
              <w:snapToGrid/>
              <w:spacing w:line="30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1038" w:type="dxa"/>
            <w:vMerge w:val="continue"/>
            <w:vAlign w:val="top"/>
          </w:tcPr>
          <w:p>
            <w:pPr>
              <w:widowControl w:val="0"/>
              <w:wordWrap/>
              <w:adjustRightInd/>
              <w:snapToGrid/>
              <w:spacing w:line="300" w:lineRule="exact"/>
              <w:textAlignment w:val="auto"/>
              <w:rPr>
                <w:rFonts w:hint="default" w:ascii="Times New Roman" w:hAnsi="Times New Roman" w:eastAsia="宋体" w:cs="Times New Roman"/>
                <w:spacing w:val="0"/>
                <w:w w:val="100"/>
                <w:sz w:val="21"/>
                <w:szCs w:val="21"/>
              </w:rPr>
            </w:pPr>
          </w:p>
        </w:tc>
        <w:tc>
          <w:tcPr>
            <w:tcW w:w="215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2.7质量变革</w:t>
            </w:r>
          </w:p>
        </w:tc>
        <w:tc>
          <w:tcPr>
            <w:tcW w:w="9717" w:type="dxa"/>
            <w:vAlign w:val="top"/>
          </w:tcPr>
          <w:p>
            <w:pPr>
              <w:widowControl w:val="0"/>
              <w:numPr>
                <w:ilvl w:val="0"/>
                <w:numId w:val="62"/>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如何提升工程质量水平，并通过不断改进工程质量，形成独特的竞争优势和对产业链的参与优势。</w:t>
            </w:r>
          </w:p>
          <w:p>
            <w:pPr>
              <w:widowControl w:val="0"/>
              <w:numPr>
                <w:ilvl w:val="0"/>
                <w:numId w:val="0"/>
              </w:numPr>
              <w:wordWrap/>
              <w:adjustRightInd/>
              <w:snapToGrid/>
              <w:spacing w:line="300" w:lineRule="exact"/>
              <w:ind w:left="0" w:leftChars="0" w:firstLine="0" w:firstLineChars="0"/>
              <w:jc w:val="both"/>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b.如何改善组织建设、勘察、设计和/或施工工艺等环节技术及管理水平等方面存在的差距，以提升产业链组织的稳定性。</w:t>
            </w:r>
          </w:p>
          <w:p>
            <w:pPr>
              <w:widowControl w:val="0"/>
              <w:numPr>
                <w:ilvl w:val="0"/>
                <w:numId w:val="0"/>
              </w:numPr>
              <w:wordWrap/>
              <w:adjustRightInd/>
              <w:snapToGrid/>
              <w:spacing w:line="300" w:lineRule="exact"/>
              <w:ind w:left="0" w:leftChars="0" w:firstLine="0" w:firstLineChars="0"/>
              <w:jc w:val="both"/>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c.如何开展质量改进活动，包括诸如质量提升小组或跨部门质量提升或质量改进团队的建设以及质量改进工具与提升方法的应用等。</w:t>
            </w:r>
          </w:p>
        </w:tc>
        <w:tc>
          <w:tcPr>
            <w:tcW w:w="1268"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2" w:type="dxa"/>
            <w:vMerge w:val="restart"/>
            <w:vAlign w:val="center"/>
          </w:tcPr>
          <w:p>
            <w:pPr>
              <w:widowControl w:val="0"/>
              <w:numPr>
                <w:ilvl w:val="0"/>
                <w:numId w:val="0"/>
              </w:numPr>
              <w:wordWrap/>
              <w:adjustRightInd/>
              <w:snapToGrid/>
              <w:spacing w:line="300" w:lineRule="exact"/>
              <w:ind w:left="0" w:leftChars="0" w:firstLine="0" w:firstLineChars="0"/>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w:t>
            </w:r>
          </w:p>
        </w:tc>
        <w:tc>
          <w:tcPr>
            <w:tcW w:w="1038" w:type="dxa"/>
            <w:vMerge w:val="restart"/>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创新</w:t>
            </w:r>
          </w:p>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200分</w:t>
            </w:r>
          </w:p>
        </w:tc>
        <w:tc>
          <w:tcPr>
            <w:tcW w:w="215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3.1动力变革</w:t>
            </w:r>
          </w:p>
        </w:tc>
        <w:tc>
          <w:tcPr>
            <w:tcW w:w="9717" w:type="dxa"/>
            <w:vAlign w:val="top"/>
          </w:tcPr>
          <w:p>
            <w:pPr>
              <w:widowControl w:val="0"/>
              <w:numPr>
                <w:ilvl w:val="0"/>
                <w:numId w:val="63"/>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创新是高质量发展的第一动力，如何将创新理念融入到组织之中，并建立、实施和保持创新管理体系，以提高组织效益和竞争优势。</w:t>
            </w:r>
          </w:p>
          <w:p>
            <w:pPr>
              <w:widowControl w:val="0"/>
              <w:numPr>
                <w:ilvl w:val="0"/>
                <w:numId w:val="63"/>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如何发现创新机会并管理创新过程，包括建立创新激励机制和管理制度等。</w:t>
            </w:r>
          </w:p>
          <w:p>
            <w:pPr>
              <w:widowControl w:val="0"/>
              <w:numPr>
                <w:ilvl w:val="0"/>
                <w:numId w:val="63"/>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如何去追求被认定为可实现/可控制的风险的机会，以及在合适的时机中断此活动以支持更优先的机会。</w:t>
            </w:r>
          </w:p>
        </w:tc>
        <w:tc>
          <w:tcPr>
            <w:tcW w:w="1268"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2" w:type="dxa"/>
            <w:vMerge w:val="continue"/>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rPr>
            </w:pPr>
          </w:p>
        </w:tc>
        <w:tc>
          <w:tcPr>
            <w:tcW w:w="1038" w:type="dxa"/>
            <w:vMerge w:val="continue"/>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rPr>
            </w:pPr>
          </w:p>
        </w:tc>
        <w:tc>
          <w:tcPr>
            <w:tcW w:w="215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3.2创新能力</w:t>
            </w:r>
          </w:p>
        </w:tc>
        <w:tc>
          <w:tcPr>
            <w:tcW w:w="9717" w:type="dxa"/>
            <w:vAlign w:val="top"/>
          </w:tcPr>
          <w:p>
            <w:pPr>
              <w:widowControl w:val="0"/>
              <w:numPr>
                <w:ilvl w:val="0"/>
                <w:numId w:val="64"/>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如何建设创新平台和打造科研创新团队（包括参与重大科研项目的能力），并保持创新平台的有效运行以提升工程建设业组织的核心竞争力。</w:t>
            </w:r>
          </w:p>
          <w:p>
            <w:pPr>
              <w:widowControl w:val="0"/>
              <w:numPr>
                <w:ilvl w:val="0"/>
                <w:numId w:val="64"/>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积极学习和应用先进技术和方法，并对运营过程中所产生的信息和知识进行系统管理，适时建设知识管理系统，持续提高工程建设业组织的纠错能力、应变能力和创新能力，实现关键核心技术自主可控、解决“卡脖子”等技术难题。</w:t>
            </w:r>
          </w:p>
        </w:tc>
        <w:tc>
          <w:tcPr>
            <w:tcW w:w="1268"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80分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2" w:type="dxa"/>
            <w:vMerge w:val="continue"/>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p>
        </w:tc>
        <w:tc>
          <w:tcPr>
            <w:tcW w:w="1038" w:type="dxa"/>
            <w:vMerge w:val="continue"/>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p>
        </w:tc>
        <w:tc>
          <w:tcPr>
            <w:tcW w:w="215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3.3管理创新</w:t>
            </w:r>
          </w:p>
        </w:tc>
        <w:tc>
          <w:tcPr>
            <w:tcW w:w="9717" w:type="dxa"/>
            <w:vAlign w:val="top"/>
          </w:tcPr>
          <w:p>
            <w:pPr>
              <w:widowControl w:val="0"/>
              <w:numPr>
                <w:ilvl w:val="0"/>
                <w:numId w:val="65"/>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如何根据工程建设业组织的战略任务，结合技术和产品发展的趋势，有计划地推动管理创新，包括针对具体工程建设质量问题，创新管理工具和方法，以使组织的各项活动更加高效。</w:t>
            </w:r>
          </w:p>
          <w:p>
            <w:pPr>
              <w:widowControl w:val="0"/>
              <w:numPr>
                <w:ilvl w:val="0"/>
                <w:numId w:val="65"/>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如何进行工程建设业组织的管理模式、经营模式、商业模式创新，如开展个性化服务或定制化服务等。</w:t>
            </w:r>
          </w:p>
        </w:tc>
        <w:tc>
          <w:tcPr>
            <w:tcW w:w="1268"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45分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2" w:type="dxa"/>
            <w:vMerge w:val="continue"/>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p>
        </w:tc>
        <w:tc>
          <w:tcPr>
            <w:tcW w:w="1038" w:type="dxa"/>
            <w:vMerge w:val="continue"/>
            <w:vAlign w:val="top"/>
          </w:tcPr>
          <w:p>
            <w:pPr>
              <w:widowControl w:val="0"/>
              <w:wordWrap/>
              <w:adjustRightInd/>
              <w:snapToGrid/>
              <w:spacing w:line="300" w:lineRule="exact"/>
              <w:textAlignment w:val="auto"/>
              <w:rPr>
                <w:rFonts w:hint="default" w:ascii="Times New Roman" w:hAnsi="Times New Roman" w:eastAsia="宋体" w:cs="Times New Roman"/>
                <w:spacing w:val="0"/>
                <w:w w:val="100"/>
                <w:sz w:val="21"/>
                <w:szCs w:val="21"/>
                <w:lang w:val="en-US" w:eastAsia="zh-CN"/>
              </w:rPr>
            </w:pPr>
          </w:p>
        </w:tc>
        <w:tc>
          <w:tcPr>
            <w:tcW w:w="215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3.4技术创新</w:t>
            </w:r>
          </w:p>
        </w:tc>
        <w:tc>
          <w:tcPr>
            <w:tcW w:w="9717" w:type="dxa"/>
            <w:vAlign w:val="top"/>
          </w:tcPr>
          <w:p>
            <w:pPr>
              <w:widowControl w:val="0"/>
              <w:numPr>
                <w:ilvl w:val="0"/>
                <w:numId w:val="66"/>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围绕工程建设业组织的使命和愿景，结合政策导向和环境的变化，通过引进、消化、吸收、开发适用的先进技术和先进标准形成工程建设业组织的技术体系，并有效保护自身的知识产权，包括海内外专利的申请和保护。</w:t>
            </w:r>
          </w:p>
          <w:p>
            <w:pPr>
              <w:widowControl w:val="0"/>
              <w:numPr>
                <w:ilvl w:val="0"/>
                <w:numId w:val="66"/>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如何建立、实施和保持技术评估体系，并与竞争对手和标杆进行比较分析，不断提高工程建设业组织的建设、勘察、设计和/或施工</w:t>
            </w:r>
            <w:r>
              <w:rPr>
                <w:rFonts w:hint="default" w:ascii="Times New Roman" w:hAnsi="Times New Roman" w:eastAsia="宋体" w:cs="Times New Roman"/>
                <w:spacing w:val="0"/>
                <w:w w:val="100"/>
                <w:sz w:val="21"/>
                <w:szCs w:val="21"/>
              </w:rPr>
              <w:t>技术水平</w:t>
            </w:r>
            <w:r>
              <w:rPr>
                <w:rFonts w:hint="default" w:ascii="Times New Roman" w:hAnsi="Times New Roman" w:eastAsia="宋体" w:cs="Times New Roman"/>
                <w:spacing w:val="0"/>
                <w:w w:val="100"/>
                <w:sz w:val="21"/>
                <w:szCs w:val="21"/>
                <w:lang w:eastAsia="zh-CN"/>
              </w:rPr>
              <w:t>，</w:t>
            </w:r>
            <w:r>
              <w:rPr>
                <w:rFonts w:hint="default" w:ascii="Times New Roman" w:hAnsi="Times New Roman" w:eastAsia="宋体" w:cs="Times New Roman"/>
                <w:spacing w:val="0"/>
                <w:w w:val="100"/>
                <w:sz w:val="21"/>
                <w:szCs w:val="21"/>
                <w:lang w:val="en-US" w:eastAsia="zh-CN"/>
              </w:rPr>
              <w:t>以增强组织的核心竞争力。</w:t>
            </w:r>
          </w:p>
          <w:p>
            <w:pPr>
              <w:widowControl w:val="0"/>
              <w:numPr>
                <w:ilvl w:val="0"/>
                <w:numId w:val="66"/>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如何利用互联网、物联网、大数据、云计算、5G等新一代信息技术进行诸如建设、勘察、设计和/或施工等技术</w:t>
            </w:r>
            <w:r>
              <w:rPr>
                <w:rFonts w:hint="default" w:ascii="Times New Roman" w:hAnsi="Times New Roman" w:eastAsia="宋体" w:cs="Times New Roman"/>
                <w:spacing w:val="0"/>
                <w:w w:val="100"/>
                <w:sz w:val="21"/>
                <w:szCs w:val="21"/>
              </w:rPr>
              <w:t>创新</w:t>
            </w:r>
            <w:r>
              <w:rPr>
                <w:rFonts w:hint="default" w:ascii="Times New Roman" w:hAnsi="Times New Roman" w:eastAsia="宋体" w:cs="Times New Roman"/>
                <w:spacing w:val="0"/>
                <w:w w:val="100"/>
                <w:sz w:val="21"/>
                <w:szCs w:val="21"/>
                <w:lang w:val="en-US" w:eastAsia="zh-CN"/>
              </w:rPr>
              <w:t>和改进，并将新技术、新工艺及时转化为建筑技术标准。</w:t>
            </w:r>
          </w:p>
        </w:tc>
        <w:tc>
          <w:tcPr>
            <w:tcW w:w="1268"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45分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2" w:type="dxa"/>
            <w:vMerge w:val="restart"/>
            <w:vAlign w:val="center"/>
          </w:tcPr>
          <w:p>
            <w:pPr>
              <w:widowControl w:val="0"/>
              <w:numPr>
                <w:ilvl w:val="0"/>
                <w:numId w:val="0"/>
              </w:numPr>
              <w:wordWrap/>
              <w:adjustRightInd/>
              <w:snapToGrid/>
              <w:spacing w:line="300" w:lineRule="exact"/>
              <w:ind w:left="0" w:leftChars="0" w:firstLine="0" w:firstLineChars="0"/>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4</w:t>
            </w:r>
          </w:p>
        </w:tc>
        <w:tc>
          <w:tcPr>
            <w:tcW w:w="1038" w:type="dxa"/>
            <w:vMerge w:val="restart"/>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品牌</w:t>
            </w:r>
          </w:p>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100分</w:t>
            </w:r>
          </w:p>
        </w:tc>
        <w:tc>
          <w:tcPr>
            <w:tcW w:w="215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4.1品牌规划</w:t>
            </w:r>
          </w:p>
        </w:tc>
        <w:tc>
          <w:tcPr>
            <w:tcW w:w="9717" w:type="dxa"/>
            <w:vAlign w:val="top"/>
          </w:tcPr>
          <w:p>
            <w:pPr>
              <w:widowControl w:val="0"/>
              <w:numPr>
                <w:ilvl w:val="0"/>
                <w:numId w:val="67"/>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如何基于顾客及相关方的需求和期望进行品牌定位，建立以品牌核心价值和特性为中心的品牌识别系统。</w:t>
            </w:r>
          </w:p>
          <w:p>
            <w:pPr>
              <w:widowControl w:val="0"/>
              <w:numPr>
                <w:ilvl w:val="0"/>
                <w:numId w:val="67"/>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如何制定和实施品牌规划。</w:t>
            </w:r>
          </w:p>
          <w:p>
            <w:pPr>
              <w:widowControl w:val="0"/>
              <w:numPr>
                <w:ilvl w:val="0"/>
                <w:numId w:val="67"/>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如何利用工程建设业组织有价值的活动提升品牌的知名度、认知度、忠诚度和美誉度。</w:t>
            </w:r>
          </w:p>
        </w:tc>
        <w:tc>
          <w:tcPr>
            <w:tcW w:w="1268"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2" w:type="dxa"/>
            <w:vMerge w:val="continue"/>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rPr>
            </w:pPr>
          </w:p>
        </w:tc>
        <w:tc>
          <w:tcPr>
            <w:tcW w:w="1038" w:type="dxa"/>
            <w:vMerge w:val="continue"/>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rPr>
            </w:pPr>
          </w:p>
        </w:tc>
        <w:tc>
          <w:tcPr>
            <w:tcW w:w="215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4.2品牌管理</w:t>
            </w:r>
          </w:p>
        </w:tc>
        <w:tc>
          <w:tcPr>
            <w:tcW w:w="9717" w:type="dxa"/>
            <w:vAlign w:val="top"/>
          </w:tcPr>
          <w:p>
            <w:pPr>
              <w:widowControl w:val="0"/>
              <w:numPr>
                <w:ilvl w:val="0"/>
                <w:numId w:val="68"/>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 xml:space="preserve">如何进行品牌管理，抓住时机进行品牌延伸扩张，并有效规避品牌延伸的风险。 </w:t>
            </w:r>
          </w:p>
          <w:p>
            <w:pPr>
              <w:widowControl w:val="0"/>
              <w:numPr>
                <w:ilvl w:val="0"/>
                <w:numId w:val="68"/>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 xml:space="preserve">如何预防市场垄断及倾销行为。 </w:t>
            </w:r>
          </w:p>
          <w:p>
            <w:pPr>
              <w:widowControl w:val="0"/>
              <w:numPr>
                <w:ilvl w:val="0"/>
                <w:numId w:val="68"/>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如何进行品牌资产管理，实现品牌资产的保值和增值。</w:t>
            </w:r>
          </w:p>
        </w:tc>
        <w:tc>
          <w:tcPr>
            <w:tcW w:w="1268"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2" w:type="dxa"/>
            <w:vMerge w:val="continue"/>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p>
        </w:tc>
        <w:tc>
          <w:tcPr>
            <w:tcW w:w="1038" w:type="dxa"/>
            <w:vMerge w:val="continue"/>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p>
        </w:tc>
        <w:tc>
          <w:tcPr>
            <w:tcW w:w="215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4.3品牌保护</w:t>
            </w:r>
          </w:p>
        </w:tc>
        <w:tc>
          <w:tcPr>
            <w:tcW w:w="9717" w:type="dxa"/>
            <w:vAlign w:val="top"/>
          </w:tcPr>
          <w:p>
            <w:pPr>
              <w:widowControl w:val="0"/>
              <w:numPr>
                <w:ilvl w:val="0"/>
                <w:numId w:val="69"/>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如何进行品牌保护，包括工程建设业组织商标国内外的注册。</w:t>
            </w:r>
          </w:p>
          <w:p>
            <w:pPr>
              <w:widowControl w:val="0"/>
              <w:numPr>
                <w:ilvl w:val="0"/>
                <w:numId w:val="69"/>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如何建立和实施顾客及其他利益相关方投诉及快速协调解决机制，以使工程建设业组织有效避免潜在的品牌风险。</w:t>
            </w:r>
          </w:p>
          <w:p>
            <w:pPr>
              <w:widowControl w:val="0"/>
              <w:numPr>
                <w:ilvl w:val="0"/>
                <w:numId w:val="69"/>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如何建立和保持品牌危机预警和应急处理系统，评估公关方案的及时性和有效性，消除或降低品牌的负面影响。</w:t>
            </w:r>
          </w:p>
        </w:tc>
        <w:tc>
          <w:tcPr>
            <w:tcW w:w="1268"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2" w:type="dxa"/>
            <w:vMerge w:val="restart"/>
            <w:vAlign w:val="center"/>
          </w:tcPr>
          <w:p>
            <w:pPr>
              <w:widowControl w:val="0"/>
              <w:numPr>
                <w:ilvl w:val="0"/>
                <w:numId w:val="0"/>
              </w:numPr>
              <w:wordWrap/>
              <w:adjustRightInd/>
              <w:snapToGrid/>
              <w:spacing w:line="300" w:lineRule="exact"/>
              <w:ind w:left="0" w:leftChars="0" w:firstLine="0" w:firstLineChars="0"/>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w:t>
            </w:r>
          </w:p>
        </w:tc>
        <w:tc>
          <w:tcPr>
            <w:tcW w:w="1038" w:type="dxa"/>
            <w:vMerge w:val="restart"/>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效益</w:t>
            </w:r>
          </w:p>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250分</w:t>
            </w:r>
          </w:p>
        </w:tc>
        <w:tc>
          <w:tcPr>
            <w:tcW w:w="215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5.1质量水平</w:t>
            </w:r>
          </w:p>
        </w:tc>
        <w:tc>
          <w:tcPr>
            <w:tcW w:w="9717" w:type="dxa"/>
            <w:vAlign w:val="top"/>
          </w:tcPr>
          <w:p>
            <w:pPr>
              <w:widowControl w:val="0"/>
              <w:numPr>
                <w:ilvl w:val="0"/>
                <w:numId w:val="70"/>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建设、勘察、设计和/或施工等环节的关键质量指标水平及提升情况，如场地电磁辐射强度、土壤氡浓度、玻璃节能性能（遮阳系数、传热系数、可见光透射比）、外窗幕墙气密性能、建筑隔声性能、室内主要空气污染物浓度降低比例（游离甲醛、苯、氨、氡、甲苯、二甲苯和 TVOC 等）、集中空调房间内环境（温度、湿度、风速、新风量）、节水器具用水效率等级、绿色建材应用比例、可再循环材料和可再利用材料用量比例以及检查点合格率等。</w:t>
            </w:r>
          </w:p>
          <w:p>
            <w:pPr>
              <w:widowControl w:val="0"/>
              <w:numPr>
                <w:ilvl w:val="0"/>
                <w:numId w:val="70"/>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说明工程</w:t>
            </w:r>
            <w:r>
              <w:rPr>
                <w:rFonts w:hint="default" w:ascii="Times New Roman" w:hAnsi="Times New Roman" w:eastAsia="宋体" w:cs="Times New Roman"/>
                <w:spacing w:val="0"/>
                <w:w w:val="100"/>
                <w:sz w:val="21"/>
                <w:szCs w:val="21"/>
              </w:rPr>
              <w:t>完成度</w:t>
            </w:r>
            <w:r>
              <w:rPr>
                <w:rFonts w:hint="default" w:ascii="Times New Roman" w:hAnsi="Times New Roman" w:eastAsia="宋体" w:cs="Times New Roman"/>
                <w:spacing w:val="0"/>
                <w:w w:val="100"/>
                <w:sz w:val="21"/>
                <w:szCs w:val="21"/>
                <w:lang w:val="en-US" w:eastAsia="zh-CN"/>
              </w:rPr>
              <w:t>及质量安全状况，如人员伤亡、质量安全事故、大规模群体投诉举报、质量诚信不良记录等。</w:t>
            </w:r>
          </w:p>
          <w:p>
            <w:pPr>
              <w:widowControl w:val="0"/>
              <w:numPr>
                <w:ilvl w:val="0"/>
                <w:numId w:val="70"/>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rPr>
              <w:t>说明国内外工程质量或勘察设计质量相关奖励或荣誉情况</w:t>
            </w:r>
            <w:r>
              <w:rPr>
                <w:rFonts w:hint="default" w:ascii="Times New Roman" w:hAnsi="Times New Roman" w:eastAsia="宋体" w:cs="Times New Roman"/>
                <w:spacing w:val="0"/>
                <w:w w:val="100"/>
                <w:sz w:val="21"/>
                <w:szCs w:val="21"/>
                <w:lang w:val="en-US" w:eastAsia="zh-CN"/>
              </w:rPr>
              <w:t>。</w:t>
            </w:r>
          </w:p>
        </w:tc>
        <w:tc>
          <w:tcPr>
            <w:tcW w:w="1268"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2" w:type="dxa"/>
            <w:vMerge w:val="continue"/>
            <w:vAlign w:val="top"/>
          </w:tcPr>
          <w:p>
            <w:pPr>
              <w:widowControl w:val="0"/>
              <w:wordWrap/>
              <w:adjustRightInd/>
              <w:snapToGrid/>
              <w:spacing w:line="30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1038" w:type="dxa"/>
            <w:vMerge w:val="continue"/>
            <w:vAlign w:val="top"/>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p>
        </w:tc>
        <w:tc>
          <w:tcPr>
            <w:tcW w:w="215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5.2创新价值</w:t>
            </w:r>
          </w:p>
        </w:tc>
        <w:tc>
          <w:tcPr>
            <w:tcW w:w="9717" w:type="dxa"/>
            <w:vAlign w:val="top"/>
          </w:tcPr>
          <w:p>
            <w:pPr>
              <w:widowControl w:val="0"/>
              <w:numPr>
                <w:ilvl w:val="0"/>
                <w:numId w:val="71"/>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建设、勘察、设计和/或施工等环节拥有的核心技术或业务引领行业发展状况以及增强市场竞争力方面的促进作用，如适应市场需求、替代进口装备（材料）和突破技术壁垒以及推动科技进步、引领产业发展、保护生态环境、减少资源消耗、保障国家安全等。</w:t>
            </w:r>
          </w:p>
          <w:p>
            <w:pPr>
              <w:widowControl w:val="0"/>
              <w:numPr>
                <w:ilvl w:val="0"/>
                <w:numId w:val="71"/>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说明获得科技成果、科技奖项、知识产权（专利）、工法和标准等状况。</w:t>
            </w:r>
          </w:p>
        </w:tc>
        <w:tc>
          <w:tcPr>
            <w:tcW w:w="1268"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2" w:type="dxa"/>
            <w:vMerge w:val="continue"/>
            <w:vAlign w:val="top"/>
          </w:tcPr>
          <w:p>
            <w:pPr>
              <w:widowControl w:val="0"/>
              <w:wordWrap/>
              <w:adjustRightInd/>
              <w:snapToGrid/>
              <w:spacing w:line="30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1038" w:type="dxa"/>
            <w:vMerge w:val="continue"/>
            <w:vAlign w:val="top"/>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p>
        </w:tc>
        <w:tc>
          <w:tcPr>
            <w:tcW w:w="215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5.3品牌影响</w:t>
            </w:r>
          </w:p>
        </w:tc>
        <w:tc>
          <w:tcPr>
            <w:tcW w:w="9717" w:type="dxa"/>
            <w:vAlign w:val="top"/>
          </w:tcPr>
          <w:p>
            <w:pPr>
              <w:widowControl w:val="0"/>
              <w:numPr>
                <w:ilvl w:val="0"/>
                <w:numId w:val="72"/>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说明主品牌在建设、勘察、设计和/或施工市场的影响情况，如知名度、美誉度和忠诚度等情况及发展趋势。</w:t>
            </w:r>
          </w:p>
          <w:p>
            <w:pPr>
              <w:widowControl w:val="0"/>
              <w:numPr>
                <w:ilvl w:val="0"/>
                <w:numId w:val="72"/>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说明主营业务市场规模/份额变化情况。</w:t>
            </w:r>
          </w:p>
          <w:p>
            <w:pPr>
              <w:widowControl w:val="0"/>
              <w:numPr>
                <w:ilvl w:val="0"/>
                <w:numId w:val="72"/>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说明主要品牌竞争力、社会认可及品牌价值。</w:t>
            </w:r>
          </w:p>
        </w:tc>
        <w:tc>
          <w:tcPr>
            <w:tcW w:w="1268"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2" w:type="dxa"/>
            <w:vMerge w:val="continue"/>
            <w:vAlign w:val="top"/>
          </w:tcPr>
          <w:p>
            <w:pPr>
              <w:widowControl w:val="0"/>
              <w:wordWrap/>
              <w:adjustRightInd/>
              <w:snapToGrid/>
              <w:spacing w:line="30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1038" w:type="dxa"/>
            <w:vMerge w:val="continue"/>
            <w:vAlign w:val="top"/>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p>
        </w:tc>
        <w:tc>
          <w:tcPr>
            <w:tcW w:w="215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5.4绿色成效</w:t>
            </w:r>
          </w:p>
        </w:tc>
        <w:tc>
          <w:tcPr>
            <w:tcW w:w="9717" w:type="dxa"/>
            <w:vAlign w:val="top"/>
          </w:tcPr>
          <w:p>
            <w:pPr>
              <w:widowControl w:val="0"/>
              <w:numPr>
                <w:ilvl w:val="0"/>
                <w:numId w:val="73"/>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说明建设工程绿色建材实际使用率、绿色示范工地数量、环保投诉率及文明施工投诉率等情况及发展趋势。</w:t>
            </w:r>
          </w:p>
          <w:p>
            <w:pPr>
              <w:widowControl w:val="0"/>
              <w:numPr>
                <w:ilvl w:val="0"/>
                <w:numId w:val="73"/>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说明对绿色建造节约资源和保护环境的效果进行评估的情况。</w:t>
            </w:r>
          </w:p>
          <w:p>
            <w:pPr>
              <w:widowControl w:val="0"/>
              <w:numPr>
                <w:ilvl w:val="0"/>
                <w:numId w:val="73"/>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说明工程建设项目减排效果评估情况，评估证明材料应包括碳排放计算报告及发展趋势</w:t>
            </w:r>
            <w:r>
              <w:rPr>
                <w:rFonts w:hint="default" w:ascii="Times New Roman" w:hAnsi="Times New Roman" w:eastAsia="宋体" w:cs="Times New Roman"/>
                <w:spacing w:val="0"/>
                <w:w w:val="100"/>
                <w:sz w:val="21"/>
                <w:szCs w:val="21"/>
                <w:lang w:eastAsia="zh-CN"/>
              </w:rPr>
              <w:t>（</w:t>
            </w:r>
            <w:r>
              <w:rPr>
                <w:rFonts w:hint="default" w:ascii="Times New Roman" w:hAnsi="Times New Roman" w:eastAsia="宋体" w:cs="Times New Roman"/>
                <w:spacing w:val="0"/>
                <w:w w:val="100"/>
                <w:sz w:val="21"/>
                <w:szCs w:val="21"/>
                <w:lang w:val="en-US" w:eastAsia="zh-CN"/>
              </w:rPr>
              <w:t>适用于建设、勘察、施工单位</w:t>
            </w:r>
            <w:r>
              <w:rPr>
                <w:rFonts w:hint="default" w:ascii="Times New Roman" w:hAnsi="Times New Roman" w:eastAsia="宋体" w:cs="Times New Roman"/>
                <w:spacing w:val="0"/>
                <w:w w:val="100"/>
                <w:sz w:val="21"/>
                <w:szCs w:val="21"/>
                <w:lang w:eastAsia="zh-CN"/>
              </w:rPr>
              <w:t>）</w:t>
            </w:r>
            <w:r>
              <w:rPr>
                <w:rFonts w:hint="default" w:ascii="Times New Roman" w:hAnsi="Times New Roman" w:eastAsia="宋体" w:cs="Times New Roman"/>
                <w:spacing w:val="0"/>
                <w:w w:val="100"/>
                <w:sz w:val="21"/>
                <w:szCs w:val="21"/>
                <w:lang w:val="en-US" w:eastAsia="zh-CN"/>
              </w:rPr>
              <w:t>。</w:t>
            </w:r>
            <w:r>
              <w:rPr>
                <w:rFonts w:hint="default" w:ascii="Times New Roman" w:hAnsi="Times New Roman" w:eastAsia="宋体" w:cs="Times New Roman"/>
                <w:b w:val="0"/>
                <w:color w:val="auto"/>
                <w:spacing w:val="0"/>
                <w:w w:val="100"/>
                <w:sz w:val="21"/>
                <w:szCs w:val="21"/>
              </w:rPr>
              <w:t>说明</w:t>
            </w:r>
            <w:r>
              <w:rPr>
                <w:rFonts w:hint="default" w:ascii="Times New Roman" w:hAnsi="Times New Roman" w:eastAsia="宋体" w:cs="Times New Roman"/>
                <w:b w:val="0"/>
                <w:color w:val="auto"/>
                <w:spacing w:val="0"/>
                <w:w w:val="100"/>
                <w:sz w:val="21"/>
                <w:szCs w:val="21"/>
                <w:lang w:val="en-US" w:eastAsia="zh-CN"/>
              </w:rPr>
              <w:t>工程建设</w:t>
            </w:r>
            <w:r>
              <w:rPr>
                <w:rFonts w:hint="default" w:ascii="Times New Roman" w:hAnsi="Times New Roman" w:eastAsia="宋体" w:cs="Times New Roman"/>
                <w:b w:val="0"/>
                <w:color w:val="auto"/>
                <w:spacing w:val="0"/>
                <w:w w:val="100"/>
                <w:sz w:val="21"/>
                <w:szCs w:val="21"/>
              </w:rPr>
              <w:t>项目在安全耐久、健康舒适、生活便利、资源节约和环境宜居等方面采用的技术体系及实际运行效果</w:t>
            </w:r>
            <w:r>
              <w:rPr>
                <w:rFonts w:hint="default" w:ascii="Times New Roman" w:hAnsi="Times New Roman" w:eastAsia="宋体" w:cs="Times New Roman"/>
                <w:b w:val="0"/>
                <w:color w:val="auto"/>
                <w:spacing w:val="0"/>
                <w:w w:val="100"/>
                <w:sz w:val="21"/>
                <w:szCs w:val="21"/>
                <w:lang w:val="en-US" w:eastAsia="zh-CN"/>
              </w:rPr>
              <w:t>（适用于设计单位</w:t>
            </w:r>
            <w:r>
              <w:rPr>
                <w:rFonts w:hint="default" w:ascii="Times New Roman" w:hAnsi="Times New Roman" w:eastAsia="宋体" w:cs="Times New Roman"/>
                <w:b w:val="0"/>
                <w:color w:val="auto"/>
                <w:spacing w:val="0"/>
                <w:w w:val="100"/>
                <w:sz w:val="21"/>
                <w:szCs w:val="21"/>
                <w:lang w:eastAsia="zh-CN"/>
              </w:rPr>
              <w:t>）</w:t>
            </w:r>
            <w:r>
              <w:rPr>
                <w:rFonts w:hint="default" w:ascii="Times New Roman" w:hAnsi="Times New Roman" w:eastAsia="宋体" w:cs="Times New Roman"/>
                <w:spacing w:val="0"/>
                <w:w w:val="100"/>
                <w:sz w:val="21"/>
                <w:szCs w:val="21"/>
              </w:rPr>
              <w:t>。</w:t>
            </w:r>
          </w:p>
        </w:tc>
        <w:tc>
          <w:tcPr>
            <w:tcW w:w="1268"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2" w:type="dxa"/>
            <w:vMerge w:val="continue"/>
            <w:vAlign w:val="top"/>
          </w:tcPr>
          <w:p>
            <w:pPr>
              <w:widowControl w:val="0"/>
              <w:wordWrap/>
              <w:adjustRightInd/>
              <w:snapToGrid/>
              <w:spacing w:line="30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1038" w:type="dxa"/>
            <w:vMerge w:val="continue"/>
            <w:vAlign w:val="top"/>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p>
        </w:tc>
        <w:tc>
          <w:tcPr>
            <w:tcW w:w="215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5.5效率变革</w:t>
            </w:r>
          </w:p>
        </w:tc>
        <w:tc>
          <w:tcPr>
            <w:tcW w:w="9717" w:type="dxa"/>
            <w:vAlign w:val="top"/>
          </w:tcPr>
          <w:p>
            <w:pPr>
              <w:widowControl w:val="0"/>
              <w:wordWrap/>
              <w:adjustRightInd/>
              <w:snapToGrid/>
              <w:spacing w:line="300" w:lineRule="exact"/>
              <w:textAlignment w:val="auto"/>
              <w:rPr>
                <w:rFonts w:hint="default" w:ascii="Times New Roman" w:hAnsi="Times New Roman" w:eastAsia="宋体" w:cs="Times New Roman"/>
                <w:spacing w:val="0"/>
                <w:w w:val="100"/>
                <w:sz w:val="21"/>
                <w:szCs w:val="21"/>
              </w:rPr>
            </w:pPr>
            <w:r>
              <w:rPr>
                <w:rFonts w:hint="default" w:ascii="Times New Roman" w:hAnsi="Times New Roman" w:eastAsia="宋体" w:cs="Times New Roman"/>
                <w:spacing w:val="0"/>
                <w:w w:val="100"/>
                <w:sz w:val="21"/>
                <w:szCs w:val="21"/>
                <w:lang w:val="en-US" w:eastAsia="zh-CN"/>
              </w:rPr>
              <w:t>a.说明生产组织效率，如现场质量管理成熟度及建设、勘察、设计和/或施工过程</w:t>
            </w:r>
            <w:r>
              <w:rPr>
                <w:rFonts w:hint="default" w:ascii="Times New Roman" w:hAnsi="Times New Roman" w:eastAsia="宋体" w:cs="Times New Roman"/>
                <w:spacing w:val="0"/>
                <w:w w:val="100"/>
                <w:sz w:val="21"/>
                <w:szCs w:val="21"/>
              </w:rPr>
              <w:t>信息化、智能化</w:t>
            </w:r>
            <w:r>
              <w:rPr>
                <w:rFonts w:hint="default" w:ascii="Times New Roman" w:hAnsi="Times New Roman" w:eastAsia="宋体" w:cs="Times New Roman"/>
                <w:spacing w:val="0"/>
                <w:w w:val="100"/>
                <w:sz w:val="21"/>
                <w:szCs w:val="21"/>
                <w:lang w:val="en-US" w:eastAsia="zh-CN"/>
              </w:rPr>
              <w:t>和数字化</w:t>
            </w:r>
          </w:p>
          <w:p>
            <w:pPr>
              <w:widowControl w:val="0"/>
              <w:numPr>
                <w:ilvl w:val="0"/>
                <w:numId w:val="0"/>
              </w:numPr>
              <w:wordWrap/>
              <w:adjustRightInd/>
              <w:snapToGrid/>
              <w:spacing w:line="300" w:lineRule="exact"/>
              <w:ind w:left="0" w:leftChars="0" w:firstLine="0" w:firstLineChars="0"/>
              <w:jc w:val="both"/>
              <w:textAlignment w:val="auto"/>
              <w:rPr>
                <w:rFonts w:hint="default" w:ascii="Times New Roman" w:hAnsi="Times New Roman" w:eastAsia="宋体" w:cs="Times New Roman"/>
                <w:spacing w:val="0"/>
                <w:w w:val="100"/>
                <w:sz w:val="21"/>
                <w:szCs w:val="21"/>
              </w:rPr>
            </w:pPr>
            <w:r>
              <w:rPr>
                <w:rFonts w:hint="default" w:ascii="Times New Roman" w:hAnsi="Times New Roman" w:eastAsia="宋体" w:cs="Times New Roman"/>
                <w:spacing w:val="0"/>
                <w:w w:val="100"/>
                <w:sz w:val="21"/>
                <w:szCs w:val="21"/>
                <w:lang w:val="en-US" w:eastAsia="zh-CN"/>
              </w:rPr>
              <w:t>水平及发展趋势。</w:t>
            </w:r>
          </w:p>
          <w:p>
            <w:pPr>
              <w:widowControl w:val="0"/>
              <w:numPr>
                <w:ilvl w:val="0"/>
                <w:numId w:val="0"/>
              </w:numPr>
              <w:wordWrap/>
              <w:adjustRightInd/>
              <w:snapToGrid/>
              <w:spacing w:line="300" w:lineRule="exact"/>
              <w:ind w:left="0" w:leftChars="0" w:firstLine="0"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b.说明组织运行效率如全员劳动生产率及建设、勘察、设计和/或施工过程有效性和效率状况及发展趋势。</w:t>
            </w:r>
          </w:p>
        </w:tc>
        <w:tc>
          <w:tcPr>
            <w:tcW w:w="1268"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2" w:type="dxa"/>
            <w:vMerge w:val="continue"/>
            <w:vAlign w:val="top"/>
          </w:tcPr>
          <w:p>
            <w:pPr>
              <w:widowControl w:val="0"/>
              <w:wordWrap/>
              <w:adjustRightInd/>
              <w:snapToGrid/>
              <w:spacing w:line="34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1038" w:type="dxa"/>
            <w:vMerge w:val="continue"/>
            <w:vAlign w:val="top"/>
          </w:tcPr>
          <w:p>
            <w:pPr>
              <w:widowControl w:val="0"/>
              <w:wordWrap/>
              <w:adjustRightInd/>
              <w:snapToGrid/>
              <w:spacing w:line="340" w:lineRule="exact"/>
              <w:jc w:val="center"/>
              <w:textAlignment w:val="auto"/>
              <w:rPr>
                <w:rFonts w:hint="default" w:ascii="Times New Roman" w:hAnsi="Times New Roman" w:eastAsia="宋体" w:cs="Times New Roman"/>
                <w:spacing w:val="0"/>
                <w:w w:val="100"/>
                <w:sz w:val="21"/>
                <w:szCs w:val="21"/>
                <w:lang w:val="en-US" w:eastAsia="zh-CN"/>
              </w:rPr>
            </w:pPr>
          </w:p>
        </w:tc>
        <w:tc>
          <w:tcPr>
            <w:tcW w:w="2153" w:type="dxa"/>
            <w:vAlign w:val="center"/>
          </w:tcPr>
          <w:p>
            <w:pPr>
              <w:widowControl w:val="0"/>
              <w:wordWrap/>
              <w:adjustRightInd/>
              <w:snapToGrid/>
              <w:spacing w:line="34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5.6经济效益</w:t>
            </w:r>
          </w:p>
        </w:tc>
        <w:tc>
          <w:tcPr>
            <w:tcW w:w="9717" w:type="dxa"/>
            <w:vAlign w:val="top"/>
          </w:tcPr>
          <w:p>
            <w:pPr>
              <w:widowControl w:val="0"/>
              <w:numPr>
                <w:ilvl w:val="0"/>
                <w:numId w:val="74"/>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说明主营业务收入占比、营业收入利润率、净利润、人均利润额。</w:t>
            </w:r>
          </w:p>
          <w:p>
            <w:pPr>
              <w:widowControl w:val="0"/>
              <w:numPr>
                <w:ilvl w:val="0"/>
                <w:numId w:val="74"/>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说明资产负债率、总资产贡献率、资本保值增值率、流动资产周转率、成本费用利润率等。</w:t>
            </w:r>
          </w:p>
        </w:tc>
        <w:tc>
          <w:tcPr>
            <w:tcW w:w="1268"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2" w:type="dxa"/>
            <w:vMerge w:val="continue"/>
            <w:vAlign w:val="top"/>
          </w:tcPr>
          <w:p>
            <w:pPr>
              <w:widowControl w:val="0"/>
              <w:wordWrap/>
              <w:adjustRightInd/>
              <w:snapToGrid/>
              <w:spacing w:line="34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1038" w:type="dxa"/>
            <w:vMerge w:val="continue"/>
            <w:vAlign w:val="top"/>
          </w:tcPr>
          <w:p>
            <w:pPr>
              <w:widowControl w:val="0"/>
              <w:wordWrap/>
              <w:adjustRightInd/>
              <w:snapToGrid/>
              <w:spacing w:line="340" w:lineRule="exact"/>
              <w:jc w:val="center"/>
              <w:textAlignment w:val="auto"/>
              <w:rPr>
                <w:rFonts w:hint="default" w:ascii="Times New Roman" w:hAnsi="Times New Roman" w:eastAsia="宋体" w:cs="Times New Roman"/>
                <w:spacing w:val="0"/>
                <w:w w:val="100"/>
                <w:sz w:val="21"/>
                <w:szCs w:val="21"/>
                <w:lang w:val="en-US" w:eastAsia="zh-CN"/>
              </w:rPr>
            </w:pPr>
          </w:p>
        </w:tc>
        <w:tc>
          <w:tcPr>
            <w:tcW w:w="2153" w:type="dxa"/>
            <w:vAlign w:val="center"/>
          </w:tcPr>
          <w:p>
            <w:pPr>
              <w:widowControl w:val="0"/>
              <w:wordWrap/>
              <w:adjustRightInd/>
              <w:snapToGrid/>
              <w:spacing w:line="34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5.7社会效益</w:t>
            </w:r>
          </w:p>
        </w:tc>
        <w:tc>
          <w:tcPr>
            <w:tcW w:w="9717" w:type="dxa"/>
            <w:vAlign w:val="top"/>
          </w:tcPr>
          <w:p>
            <w:pPr>
              <w:widowControl w:val="0"/>
              <w:numPr>
                <w:ilvl w:val="0"/>
                <w:numId w:val="75"/>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说明社会责任方面情况，包括社会责任规划与报告、重点支持领域、参与社会及社区公益活动，公益投入金额等。</w:t>
            </w:r>
          </w:p>
          <w:p>
            <w:pPr>
              <w:widowControl w:val="0"/>
              <w:numPr>
                <w:ilvl w:val="0"/>
                <w:numId w:val="75"/>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说明构建和谐劳资关系（员工职业安全、员工人均年收入、员工平均工资涨幅、员工缴纳“五险一金”以及员工流动率等方面）情况。</w:t>
            </w:r>
          </w:p>
          <w:p>
            <w:pPr>
              <w:widowControl w:val="0"/>
              <w:numPr>
                <w:ilvl w:val="0"/>
                <w:numId w:val="75"/>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说明防治和降低工程建设中排放污染物对环境产生危害的措施。</w:t>
            </w:r>
          </w:p>
          <w:p>
            <w:pPr>
              <w:widowControl w:val="0"/>
              <w:numPr>
                <w:ilvl w:val="0"/>
                <w:numId w:val="75"/>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说明其他如疫情防控和保障产业链供应链稳定情况。</w:t>
            </w:r>
          </w:p>
        </w:tc>
        <w:tc>
          <w:tcPr>
            <w:tcW w:w="1268"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680" w:type="dxa"/>
            <w:gridSpan w:val="4"/>
            <w:vAlign w:val="center"/>
          </w:tcPr>
          <w:p>
            <w:pPr>
              <w:widowControl w:val="0"/>
              <w:numPr>
                <w:ilvl w:val="0"/>
                <w:numId w:val="0"/>
              </w:numPr>
              <w:wordWrap/>
              <w:adjustRightInd/>
              <w:snapToGrid/>
              <w:spacing w:line="340" w:lineRule="exact"/>
              <w:ind w:leftChars="0"/>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合计</w:t>
            </w:r>
          </w:p>
        </w:tc>
        <w:tc>
          <w:tcPr>
            <w:tcW w:w="1268"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1000分</w:t>
            </w:r>
          </w:p>
        </w:tc>
      </w:tr>
    </w:tbl>
    <w:p>
      <w:pPr>
        <w:widowControl w:val="0"/>
        <w:wordWrap/>
        <w:adjustRightInd/>
        <w:snapToGrid/>
        <w:spacing w:line="560" w:lineRule="exact"/>
        <w:textAlignment w:val="auto"/>
        <w:rPr>
          <w:rFonts w:hint="eastAsia" w:ascii="宋体" w:hAnsi="宋体" w:eastAsia="宋体" w:cs="宋体"/>
          <w:spacing w:val="0"/>
          <w:w w:val="100"/>
          <w:sz w:val="24"/>
          <w:lang w:val="en-US" w:eastAsia="zh-CN"/>
        </w:rPr>
      </w:pPr>
      <w:r>
        <w:rPr>
          <w:rFonts w:hint="eastAsia" w:ascii="宋体" w:hAnsi="宋体" w:eastAsia="宋体" w:cs="宋体"/>
          <w:spacing w:val="0"/>
          <w:w w:val="100"/>
          <w:sz w:val="24"/>
          <w:szCs w:val="24"/>
          <w:lang w:val="en-US" w:eastAsia="zh-CN"/>
        </w:rPr>
        <w:t>注：本文件所称工程建设业工程建设业组织是指建设、勘察、设计和施工</w:t>
      </w:r>
      <w:r>
        <w:rPr>
          <w:rFonts w:hint="eastAsia" w:ascii="宋体" w:hAnsi="宋体" w:eastAsia="宋体" w:cs="宋体"/>
          <w:spacing w:val="0"/>
          <w:w w:val="100"/>
          <w:sz w:val="24"/>
          <w:szCs w:val="24"/>
        </w:rPr>
        <w:t>等单位</w:t>
      </w:r>
      <w:r>
        <w:rPr>
          <w:rFonts w:hint="eastAsia" w:ascii="宋体" w:hAnsi="宋体" w:eastAsia="宋体" w:cs="宋体"/>
          <w:spacing w:val="0"/>
          <w:w w:val="100"/>
          <w:sz w:val="24"/>
          <w:szCs w:val="24"/>
          <w:lang w:eastAsia="zh-CN"/>
        </w:rPr>
        <w:t>。</w:t>
      </w:r>
    </w:p>
    <w:p>
      <w:pPr>
        <w:wordWrap/>
        <w:adjustRightInd/>
        <w:snapToGrid/>
        <w:spacing w:line="320" w:lineRule="exact"/>
        <w:textAlignment w:val="auto"/>
        <w:rPr>
          <w:rFonts w:hint="eastAsia" w:ascii="Times New Roman" w:hAnsi="Times New Roman"/>
          <w:spacing w:val="0"/>
          <w:w w:val="100"/>
          <w:sz w:val="36"/>
          <w:szCs w:val="36"/>
          <w:lang w:val="en-US" w:eastAsia="zh-CN"/>
        </w:rPr>
      </w:pPr>
    </w:p>
    <w:p>
      <w:pPr>
        <w:pStyle w:val="2"/>
        <w:rPr>
          <w:rFonts w:hint="eastAsia" w:ascii="Times New Roman" w:hAnsi="Times New Roman"/>
          <w:spacing w:val="0"/>
          <w:w w:val="100"/>
          <w:sz w:val="36"/>
          <w:szCs w:val="36"/>
          <w:lang w:val="en-US" w:eastAsia="zh-CN"/>
        </w:rPr>
      </w:pPr>
    </w:p>
    <w:p>
      <w:pPr>
        <w:pStyle w:val="2"/>
        <w:rPr>
          <w:rFonts w:hint="eastAsia" w:ascii="Times New Roman" w:hAnsi="Times New Roman"/>
          <w:spacing w:val="0"/>
          <w:w w:val="100"/>
          <w:sz w:val="36"/>
          <w:szCs w:val="36"/>
          <w:lang w:val="en-US" w:eastAsia="zh-CN"/>
        </w:rPr>
      </w:pPr>
    </w:p>
    <w:p>
      <w:pPr>
        <w:pStyle w:val="2"/>
        <w:rPr>
          <w:rFonts w:hint="eastAsia" w:ascii="Times New Roman" w:hAnsi="Times New Roman"/>
          <w:spacing w:val="0"/>
          <w:w w:val="100"/>
          <w:sz w:val="36"/>
          <w:szCs w:val="36"/>
          <w:lang w:val="en-US" w:eastAsia="zh-CN"/>
        </w:rPr>
      </w:pPr>
    </w:p>
    <w:p>
      <w:pPr>
        <w:pStyle w:val="2"/>
        <w:rPr>
          <w:rFonts w:hint="eastAsia" w:ascii="Times New Roman" w:hAnsi="Times New Roman"/>
          <w:spacing w:val="0"/>
          <w:w w:val="100"/>
          <w:sz w:val="36"/>
          <w:szCs w:val="36"/>
          <w:lang w:val="en-US" w:eastAsia="zh-CN"/>
        </w:rPr>
      </w:pPr>
    </w:p>
    <w:p>
      <w:pPr>
        <w:wordWrap/>
        <w:adjustRightInd/>
        <w:snapToGrid/>
        <w:spacing w:line="320" w:lineRule="exact"/>
        <w:jc w:val="both"/>
        <w:textAlignment w:val="auto"/>
        <w:rPr>
          <w:rFonts w:hint="eastAsia" w:ascii="Times New Roman" w:hAnsi="Times New Roman" w:eastAsia="黑体" w:cs="黑体"/>
          <w:b w:val="0"/>
          <w:bCs w:val="0"/>
          <w:spacing w:val="0"/>
          <w:w w:val="100"/>
          <w:sz w:val="32"/>
          <w:szCs w:val="32"/>
        </w:rPr>
      </w:pPr>
    </w:p>
    <w:p>
      <w:pPr>
        <w:wordWrap/>
        <w:adjustRightInd/>
        <w:snapToGrid/>
        <w:spacing w:line="320" w:lineRule="exact"/>
        <w:jc w:val="both"/>
        <w:textAlignment w:val="auto"/>
        <w:rPr>
          <w:rFonts w:hint="eastAsia" w:ascii="Times New Roman" w:hAnsi="Times New Roman" w:eastAsia="黑体" w:cs="黑体"/>
          <w:b w:val="0"/>
          <w:bCs w:val="0"/>
          <w:spacing w:val="0"/>
          <w:w w:val="100"/>
          <w:sz w:val="32"/>
          <w:szCs w:val="32"/>
        </w:rPr>
      </w:pPr>
    </w:p>
    <w:p>
      <w:pPr>
        <w:wordWrap/>
        <w:adjustRightInd/>
        <w:snapToGrid/>
        <w:spacing w:line="320" w:lineRule="exact"/>
        <w:jc w:val="both"/>
        <w:textAlignment w:val="auto"/>
        <w:rPr>
          <w:rFonts w:hint="eastAsia" w:ascii="Times New Roman" w:hAnsi="Times New Roman" w:eastAsia="黑体" w:cs="黑体"/>
          <w:b w:val="0"/>
          <w:bCs w:val="0"/>
          <w:spacing w:val="0"/>
          <w:w w:val="100"/>
          <w:sz w:val="32"/>
          <w:szCs w:val="32"/>
        </w:rPr>
      </w:pPr>
    </w:p>
    <w:p>
      <w:pPr>
        <w:wordWrap/>
        <w:adjustRightInd/>
        <w:snapToGrid/>
        <w:spacing w:line="320" w:lineRule="exact"/>
        <w:jc w:val="both"/>
        <w:textAlignment w:val="auto"/>
        <w:rPr>
          <w:rFonts w:hint="eastAsia" w:ascii="Times New Roman" w:hAnsi="Times New Roman" w:eastAsia="黑体" w:cs="黑体"/>
          <w:b w:val="0"/>
          <w:bCs w:val="0"/>
          <w:spacing w:val="0"/>
          <w:w w:val="100"/>
          <w:sz w:val="32"/>
          <w:szCs w:val="32"/>
        </w:rPr>
      </w:pPr>
    </w:p>
    <w:p>
      <w:pPr>
        <w:wordWrap/>
        <w:adjustRightInd/>
        <w:snapToGrid/>
        <w:spacing w:line="320" w:lineRule="exact"/>
        <w:jc w:val="both"/>
        <w:textAlignment w:val="auto"/>
        <w:rPr>
          <w:rFonts w:hint="eastAsia" w:ascii="Times New Roman" w:hAnsi="Times New Roman" w:eastAsia="黑体" w:cs="黑体"/>
          <w:b w:val="0"/>
          <w:bCs w:val="0"/>
          <w:spacing w:val="0"/>
          <w:w w:val="100"/>
          <w:sz w:val="32"/>
          <w:szCs w:val="32"/>
        </w:rPr>
      </w:pPr>
    </w:p>
    <w:p>
      <w:pPr>
        <w:wordWrap/>
        <w:adjustRightInd/>
        <w:snapToGrid/>
        <w:spacing w:line="320" w:lineRule="exact"/>
        <w:jc w:val="both"/>
        <w:textAlignment w:val="auto"/>
        <w:rPr>
          <w:rFonts w:hint="eastAsia" w:ascii="Times New Roman" w:hAnsi="Times New Roman" w:eastAsia="黑体" w:cs="黑体"/>
          <w:b w:val="0"/>
          <w:bCs w:val="0"/>
          <w:spacing w:val="0"/>
          <w:w w:val="100"/>
          <w:sz w:val="32"/>
          <w:szCs w:val="32"/>
        </w:rPr>
      </w:pPr>
    </w:p>
    <w:p>
      <w:pPr>
        <w:wordWrap/>
        <w:adjustRightInd/>
        <w:snapToGrid/>
        <w:spacing w:line="320" w:lineRule="exact"/>
        <w:jc w:val="both"/>
        <w:textAlignment w:val="auto"/>
        <w:rPr>
          <w:rFonts w:hint="eastAsia" w:ascii="Times New Roman" w:hAnsi="Times New Roman" w:eastAsia="黑体" w:cs="黑体"/>
          <w:b w:val="0"/>
          <w:bCs w:val="0"/>
          <w:spacing w:val="0"/>
          <w:w w:val="100"/>
          <w:sz w:val="32"/>
          <w:szCs w:val="32"/>
        </w:rPr>
      </w:pPr>
    </w:p>
    <w:p>
      <w:pPr>
        <w:wordWrap/>
        <w:adjustRightInd/>
        <w:snapToGrid/>
        <w:spacing w:line="320" w:lineRule="exact"/>
        <w:jc w:val="both"/>
        <w:textAlignment w:val="auto"/>
        <w:rPr>
          <w:rFonts w:hint="eastAsia" w:ascii="Times New Roman" w:hAnsi="Times New Roman" w:eastAsia="黑体" w:cs="黑体"/>
          <w:b w:val="0"/>
          <w:bCs w:val="0"/>
          <w:spacing w:val="0"/>
          <w:w w:val="100"/>
          <w:sz w:val="32"/>
          <w:szCs w:val="32"/>
        </w:rPr>
      </w:pPr>
    </w:p>
    <w:p>
      <w:pPr>
        <w:wordWrap/>
        <w:adjustRightInd/>
        <w:snapToGrid/>
        <w:spacing w:line="320" w:lineRule="exact"/>
        <w:jc w:val="both"/>
        <w:textAlignment w:val="auto"/>
        <w:rPr>
          <w:rFonts w:hint="eastAsia" w:ascii="Times New Roman" w:hAnsi="Times New Roman" w:eastAsia="黑体" w:cs="黑体"/>
          <w:b w:val="0"/>
          <w:bCs w:val="0"/>
          <w:spacing w:val="0"/>
          <w:w w:val="100"/>
          <w:sz w:val="32"/>
          <w:szCs w:val="32"/>
        </w:rPr>
      </w:pPr>
    </w:p>
    <w:p>
      <w:pPr>
        <w:wordWrap/>
        <w:adjustRightInd/>
        <w:snapToGrid/>
        <w:spacing w:line="320" w:lineRule="exact"/>
        <w:jc w:val="both"/>
        <w:textAlignment w:val="auto"/>
        <w:rPr>
          <w:rFonts w:hint="eastAsia" w:ascii="Times New Roman" w:hAnsi="Times New Roman" w:eastAsia="黑体" w:cs="黑体"/>
          <w:spacing w:val="0"/>
          <w:w w:val="100"/>
          <w:sz w:val="32"/>
          <w:szCs w:val="32"/>
          <w:lang w:val="en-US" w:eastAsia="zh-CN"/>
        </w:rPr>
      </w:pPr>
      <w:r>
        <w:rPr>
          <w:rFonts w:hint="eastAsia" w:ascii="Times New Roman" w:hAnsi="Times New Roman" w:eastAsia="黑体" w:cs="黑体"/>
          <w:b w:val="0"/>
          <w:bCs w:val="0"/>
          <w:spacing w:val="0"/>
          <w:w w:val="100"/>
          <w:sz w:val="32"/>
          <w:szCs w:val="32"/>
        </w:rPr>
        <w:t>附件</w:t>
      </w:r>
      <w:r>
        <w:rPr>
          <w:rFonts w:hint="eastAsia" w:ascii="Times New Roman" w:hAnsi="Times New Roman" w:eastAsia="黑体" w:cs="黑体"/>
          <w:b w:val="0"/>
          <w:bCs w:val="0"/>
          <w:spacing w:val="0"/>
          <w:w w:val="100"/>
          <w:sz w:val="32"/>
          <w:szCs w:val="32"/>
          <w:lang w:val="en-US" w:eastAsia="zh-CN"/>
        </w:rPr>
        <w:t>4</w:t>
      </w:r>
    </w:p>
    <w:p>
      <w:pPr>
        <w:widowControl w:val="0"/>
        <w:tabs>
          <w:tab w:val="left" w:pos="1575"/>
          <w:tab w:val="left" w:pos="3780"/>
        </w:tabs>
        <w:wordWrap/>
        <w:adjustRightInd/>
        <w:snapToGrid/>
        <w:spacing w:line="600" w:lineRule="exact"/>
        <w:jc w:val="center"/>
        <w:textAlignment w:val="auto"/>
        <w:rPr>
          <w:rFonts w:hint="default" w:ascii="Times New Roman" w:hAnsi="Times New Roman" w:eastAsia="方正小标宋简体" w:cs="方正小标宋简体"/>
          <w:spacing w:val="0"/>
          <w:w w:val="100"/>
          <w:sz w:val="44"/>
          <w:szCs w:val="44"/>
          <w:lang w:val="en-US" w:eastAsia="zh-CN"/>
        </w:rPr>
      </w:pPr>
      <w:r>
        <w:rPr>
          <w:rFonts w:hint="eastAsia" w:ascii="Times New Roman" w:hAnsi="Times New Roman" w:eastAsia="方正小标宋简体" w:cs="方正小标宋简体"/>
          <w:spacing w:val="0"/>
          <w:w w:val="100"/>
          <w:sz w:val="44"/>
          <w:szCs w:val="44"/>
          <w:lang w:val="en-US" w:eastAsia="zh-CN"/>
        </w:rPr>
        <w:t>广东省政府质量奖评分要点（医疗机构）</w:t>
      </w:r>
    </w:p>
    <w:tbl>
      <w:tblPr>
        <w:tblStyle w:val="9"/>
        <w:tblW w:w="15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3"/>
        <w:gridCol w:w="1043"/>
        <w:gridCol w:w="2243"/>
        <w:gridCol w:w="9772"/>
        <w:gridCol w:w="12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3" w:type="dxa"/>
            <w:vMerge w:val="restart"/>
            <w:vAlign w:val="center"/>
          </w:tcPr>
          <w:p>
            <w:pPr>
              <w:widowControl w:val="0"/>
              <w:wordWrap/>
              <w:adjustRightInd/>
              <w:snapToGrid/>
              <w:spacing w:line="320" w:lineRule="exact"/>
              <w:jc w:val="center"/>
              <w:textAlignment w:val="auto"/>
              <w:rPr>
                <w:rFonts w:hint="eastAsia" w:ascii="黑体" w:hAnsi="黑体" w:eastAsia="黑体" w:cs="黑体"/>
                <w:spacing w:val="0"/>
                <w:w w:val="100"/>
                <w:sz w:val="21"/>
                <w:szCs w:val="21"/>
                <w:lang w:val="en-US" w:eastAsia="zh-CN"/>
              </w:rPr>
            </w:pPr>
            <w:r>
              <w:rPr>
                <w:rFonts w:hint="eastAsia" w:ascii="黑体" w:hAnsi="黑体" w:eastAsia="黑体" w:cs="黑体"/>
                <w:spacing w:val="0"/>
                <w:w w:val="100"/>
                <w:sz w:val="21"/>
                <w:szCs w:val="21"/>
                <w:lang w:val="en-US" w:eastAsia="zh-CN"/>
              </w:rPr>
              <w:t>序号</w:t>
            </w:r>
          </w:p>
        </w:tc>
        <w:tc>
          <w:tcPr>
            <w:tcW w:w="3286" w:type="dxa"/>
            <w:gridSpan w:val="2"/>
            <w:vAlign w:val="center"/>
          </w:tcPr>
          <w:p>
            <w:pPr>
              <w:widowControl w:val="0"/>
              <w:wordWrap/>
              <w:adjustRightInd/>
              <w:snapToGrid/>
              <w:spacing w:line="320" w:lineRule="exact"/>
              <w:jc w:val="center"/>
              <w:textAlignment w:val="auto"/>
              <w:rPr>
                <w:rFonts w:hint="eastAsia" w:ascii="黑体" w:hAnsi="黑体" w:eastAsia="黑体" w:cs="黑体"/>
                <w:spacing w:val="0"/>
                <w:w w:val="100"/>
                <w:sz w:val="21"/>
                <w:szCs w:val="21"/>
                <w:lang w:val="en-US" w:eastAsia="zh-CN"/>
              </w:rPr>
            </w:pPr>
            <w:r>
              <w:rPr>
                <w:rFonts w:hint="eastAsia" w:ascii="黑体" w:hAnsi="黑体" w:eastAsia="黑体" w:cs="黑体"/>
                <w:spacing w:val="0"/>
                <w:w w:val="100"/>
                <w:sz w:val="21"/>
                <w:szCs w:val="21"/>
                <w:lang w:val="en-US" w:eastAsia="zh-CN"/>
              </w:rPr>
              <w:t>评价指标</w:t>
            </w:r>
          </w:p>
        </w:tc>
        <w:tc>
          <w:tcPr>
            <w:tcW w:w="9772" w:type="dxa"/>
            <w:vMerge w:val="restart"/>
            <w:vAlign w:val="center"/>
          </w:tcPr>
          <w:p>
            <w:pPr>
              <w:widowControl w:val="0"/>
              <w:wordWrap/>
              <w:adjustRightInd/>
              <w:snapToGrid/>
              <w:spacing w:line="320" w:lineRule="exact"/>
              <w:jc w:val="center"/>
              <w:textAlignment w:val="auto"/>
              <w:rPr>
                <w:rFonts w:hint="eastAsia" w:ascii="黑体" w:hAnsi="黑体" w:eastAsia="黑体" w:cs="黑体"/>
                <w:spacing w:val="0"/>
                <w:w w:val="100"/>
                <w:sz w:val="21"/>
                <w:szCs w:val="21"/>
                <w:lang w:val="en-US" w:eastAsia="zh-CN"/>
              </w:rPr>
            </w:pPr>
            <w:r>
              <w:rPr>
                <w:rFonts w:hint="eastAsia" w:ascii="黑体" w:hAnsi="黑体" w:eastAsia="黑体" w:cs="黑体"/>
                <w:spacing w:val="0"/>
                <w:w w:val="100"/>
                <w:sz w:val="21"/>
                <w:szCs w:val="21"/>
                <w:lang w:val="en-US" w:eastAsia="zh-CN"/>
              </w:rPr>
              <w:t>评价要点</w:t>
            </w:r>
          </w:p>
        </w:tc>
        <w:tc>
          <w:tcPr>
            <w:tcW w:w="1271" w:type="dxa"/>
            <w:vMerge w:val="restart"/>
            <w:vAlign w:val="center"/>
          </w:tcPr>
          <w:p>
            <w:pPr>
              <w:widowControl w:val="0"/>
              <w:wordWrap/>
              <w:adjustRightInd/>
              <w:snapToGrid/>
              <w:spacing w:line="320" w:lineRule="exact"/>
              <w:jc w:val="center"/>
              <w:textAlignment w:val="auto"/>
              <w:rPr>
                <w:rFonts w:hint="eastAsia" w:ascii="黑体" w:hAnsi="黑体" w:eastAsia="黑体" w:cs="黑体"/>
                <w:spacing w:val="0"/>
                <w:w w:val="100"/>
                <w:sz w:val="21"/>
                <w:szCs w:val="21"/>
                <w:lang w:val="en-US" w:eastAsia="zh-CN"/>
              </w:rPr>
            </w:pPr>
            <w:r>
              <w:rPr>
                <w:rFonts w:hint="eastAsia" w:ascii="黑体" w:hAnsi="黑体" w:eastAsia="黑体" w:cs="黑体"/>
                <w:spacing w:val="0"/>
                <w:w w:val="100"/>
                <w:sz w:val="21"/>
                <w:szCs w:val="21"/>
                <w:lang w:val="en-US" w:eastAsia="zh-CN"/>
              </w:rPr>
              <w:t>评分分值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3" w:type="dxa"/>
            <w:vMerge w:val="continue"/>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p>
        </w:tc>
        <w:tc>
          <w:tcPr>
            <w:tcW w:w="1043" w:type="dxa"/>
            <w:vAlign w:val="center"/>
          </w:tcPr>
          <w:p>
            <w:pPr>
              <w:widowControl w:val="0"/>
              <w:wordWrap/>
              <w:adjustRightInd/>
              <w:snapToGrid/>
              <w:spacing w:line="320" w:lineRule="exact"/>
              <w:jc w:val="center"/>
              <w:textAlignment w:val="auto"/>
              <w:rPr>
                <w:rFonts w:hint="eastAsia" w:ascii="黑体" w:hAnsi="黑体" w:eastAsia="黑体" w:cs="黑体"/>
                <w:spacing w:val="0"/>
                <w:w w:val="100"/>
                <w:sz w:val="21"/>
                <w:szCs w:val="21"/>
                <w:lang w:val="en-US" w:eastAsia="zh-CN"/>
              </w:rPr>
            </w:pPr>
            <w:r>
              <w:rPr>
                <w:rFonts w:hint="eastAsia" w:ascii="黑体" w:hAnsi="黑体" w:eastAsia="黑体" w:cs="黑体"/>
                <w:spacing w:val="0"/>
                <w:w w:val="100"/>
                <w:sz w:val="21"/>
                <w:szCs w:val="21"/>
                <w:lang w:val="en-US" w:eastAsia="zh-CN"/>
              </w:rPr>
              <w:t>一级</w:t>
            </w:r>
          </w:p>
        </w:tc>
        <w:tc>
          <w:tcPr>
            <w:tcW w:w="2243" w:type="dxa"/>
            <w:vAlign w:val="center"/>
          </w:tcPr>
          <w:p>
            <w:pPr>
              <w:widowControl w:val="0"/>
              <w:wordWrap/>
              <w:adjustRightInd/>
              <w:snapToGrid/>
              <w:spacing w:line="320" w:lineRule="exact"/>
              <w:jc w:val="center"/>
              <w:textAlignment w:val="auto"/>
              <w:rPr>
                <w:rFonts w:hint="eastAsia" w:ascii="黑体" w:hAnsi="黑体" w:eastAsia="黑体" w:cs="黑体"/>
                <w:spacing w:val="0"/>
                <w:w w:val="100"/>
                <w:sz w:val="21"/>
                <w:szCs w:val="21"/>
                <w:lang w:val="en-US" w:eastAsia="zh-CN"/>
              </w:rPr>
            </w:pPr>
            <w:r>
              <w:rPr>
                <w:rFonts w:hint="eastAsia" w:ascii="黑体" w:hAnsi="黑体" w:eastAsia="黑体" w:cs="黑体"/>
                <w:spacing w:val="0"/>
                <w:w w:val="100"/>
                <w:sz w:val="21"/>
                <w:szCs w:val="21"/>
                <w:lang w:val="en-US" w:eastAsia="zh-CN"/>
              </w:rPr>
              <w:t>二级</w:t>
            </w:r>
          </w:p>
        </w:tc>
        <w:tc>
          <w:tcPr>
            <w:tcW w:w="9772" w:type="dxa"/>
            <w:vMerge w:val="continue"/>
            <w:vAlign w:val="top"/>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p>
        </w:tc>
        <w:tc>
          <w:tcPr>
            <w:tcW w:w="1271" w:type="dxa"/>
            <w:vMerge w:val="continue"/>
            <w:vAlign w:val="top"/>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3" w:type="dxa"/>
            <w:vMerge w:val="restart"/>
            <w:vAlign w:val="center"/>
          </w:tcPr>
          <w:p>
            <w:pPr>
              <w:numPr>
                <w:ilvl w:val="0"/>
                <w:numId w:val="0"/>
              </w:numPr>
              <w:wordWrap/>
              <w:adjustRightInd/>
              <w:snapToGrid/>
              <w:spacing w:line="320" w:lineRule="exact"/>
              <w:ind w:left="0" w:leftChars="0" w:firstLine="0" w:firstLineChars="0"/>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1</w:t>
            </w:r>
          </w:p>
        </w:tc>
        <w:tc>
          <w:tcPr>
            <w:tcW w:w="1043" w:type="dxa"/>
            <w:vMerge w:val="restart"/>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领导</w:t>
            </w:r>
          </w:p>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150分</w:t>
            </w:r>
          </w:p>
        </w:tc>
        <w:tc>
          <w:tcPr>
            <w:tcW w:w="2243"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1.1团队建设</w:t>
            </w:r>
          </w:p>
        </w:tc>
        <w:tc>
          <w:tcPr>
            <w:tcW w:w="9772" w:type="dxa"/>
            <w:vAlign w:val="top"/>
          </w:tcPr>
          <w:p>
            <w:pPr>
              <w:widowControl w:val="0"/>
              <w:numPr>
                <w:ilvl w:val="0"/>
                <w:numId w:val="76"/>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如何进行组织架构设计和治理系统建设，包括质量管理机构或部门的设置与运行情况，以激发组织活力。</w:t>
            </w:r>
          </w:p>
          <w:p>
            <w:pPr>
              <w:widowControl w:val="0"/>
              <w:numPr>
                <w:ilvl w:val="0"/>
                <w:numId w:val="76"/>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如何对组织/团队的领导和组成成员的绩效进行评价，以使组织/团队为其决策和活动的影响承担责任。</w:t>
            </w:r>
          </w:p>
          <w:p>
            <w:pPr>
              <w:widowControl w:val="0"/>
              <w:numPr>
                <w:ilvl w:val="0"/>
                <w:numId w:val="76"/>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如何运用绩效评价结果改进自身运作的有效性，促进组织/团队发展。</w:t>
            </w:r>
          </w:p>
        </w:tc>
        <w:tc>
          <w:tcPr>
            <w:tcW w:w="1271"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3" w:type="dxa"/>
            <w:vMerge w:val="continue"/>
            <w:vAlign w:val="top"/>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rPr>
            </w:pPr>
          </w:p>
        </w:tc>
        <w:tc>
          <w:tcPr>
            <w:tcW w:w="1043" w:type="dxa"/>
            <w:vMerge w:val="continue"/>
            <w:vAlign w:val="top"/>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p>
        </w:tc>
        <w:tc>
          <w:tcPr>
            <w:tcW w:w="2243" w:type="dxa"/>
            <w:vAlign w:val="center"/>
          </w:tcPr>
          <w:p>
            <w:pPr>
              <w:widowControl w:val="0"/>
              <w:wordWrap/>
              <w:adjustRightInd/>
              <w:snapToGrid/>
              <w:spacing w:line="34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1.2文化理念</w:t>
            </w:r>
          </w:p>
        </w:tc>
        <w:tc>
          <w:tcPr>
            <w:tcW w:w="9772" w:type="dxa"/>
            <w:vAlign w:val="top"/>
          </w:tcPr>
          <w:p>
            <w:pPr>
              <w:widowControl w:val="0"/>
              <w:numPr>
                <w:ilvl w:val="0"/>
                <w:numId w:val="77"/>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如何强化患者需求导向，并坚守纯粹医者信念，尊重医学科学规律，遵守医学伦理道德，遵循临床诊疗技术规范，为患者提供安全、适宜、优质、高效的医疗卫生服务。</w:t>
            </w:r>
          </w:p>
          <w:p>
            <w:pPr>
              <w:widowControl w:val="0"/>
              <w:numPr>
                <w:ilvl w:val="0"/>
                <w:numId w:val="77"/>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如何弘扬崇高的职业精神，激发医务人员对工作极端负责、对技术精益求精的不竭动力，并以充满人文关怀的医疗服务赢得患者、社会的信任和尊重。</w:t>
            </w:r>
          </w:p>
          <w:p>
            <w:pPr>
              <w:widowControl w:val="0"/>
              <w:numPr>
                <w:ilvl w:val="0"/>
                <w:numId w:val="77"/>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如何打造尊重患者权利的医疗团队文化。</w:t>
            </w:r>
          </w:p>
        </w:tc>
        <w:tc>
          <w:tcPr>
            <w:tcW w:w="1271"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3" w:type="dxa"/>
            <w:vMerge w:val="continue"/>
            <w:vAlign w:val="top"/>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rPr>
            </w:pPr>
          </w:p>
        </w:tc>
        <w:tc>
          <w:tcPr>
            <w:tcW w:w="1043" w:type="dxa"/>
            <w:vMerge w:val="continue"/>
            <w:vAlign w:val="top"/>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p>
        </w:tc>
        <w:tc>
          <w:tcPr>
            <w:tcW w:w="2243" w:type="dxa"/>
            <w:vAlign w:val="center"/>
          </w:tcPr>
          <w:p>
            <w:pPr>
              <w:widowControl w:val="0"/>
              <w:wordWrap/>
              <w:adjustRightInd/>
              <w:snapToGrid/>
              <w:spacing w:line="340" w:lineRule="exact"/>
              <w:jc w:val="center"/>
              <w:textAlignment w:val="auto"/>
              <w:rPr>
                <w:rFonts w:hint="default" w:ascii="Times New Roman" w:hAnsi="Times New Roman" w:eastAsia="宋体" w:cs="Times New Roman"/>
                <w:spacing w:val="0"/>
                <w:w w:val="100"/>
                <w:sz w:val="21"/>
                <w:szCs w:val="21"/>
              </w:rPr>
            </w:pPr>
            <w:r>
              <w:rPr>
                <w:rFonts w:hint="default" w:ascii="Times New Roman" w:hAnsi="Times New Roman" w:eastAsia="宋体" w:cs="Times New Roman"/>
                <w:spacing w:val="0"/>
                <w:w w:val="100"/>
                <w:sz w:val="21"/>
                <w:szCs w:val="21"/>
                <w:lang w:val="en-US" w:eastAsia="zh-CN"/>
              </w:rPr>
              <w:t>1.3社会责任</w:t>
            </w:r>
          </w:p>
        </w:tc>
        <w:tc>
          <w:tcPr>
            <w:tcW w:w="9772" w:type="dxa"/>
            <w:vAlign w:val="top"/>
          </w:tcPr>
          <w:p>
            <w:pPr>
              <w:widowControl w:val="0"/>
              <w:numPr>
                <w:ilvl w:val="0"/>
                <w:numId w:val="78"/>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如何树立并恪守职业道德规范，认真遵守医疗质量管理相关法律法规、规范、标准和本机构医疗质量管理制度的规定，规范临床诊疗行为。</w:t>
            </w:r>
          </w:p>
          <w:p>
            <w:pPr>
              <w:widowControl w:val="0"/>
              <w:numPr>
                <w:ilvl w:val="0"/>
                <w:numId w:val="78"/>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如何进行公益支持，包括</w:t>
            </w:r>
            <w:r>
              <w:rPr>
                <w:rFonts w:hint="default" w:ascii="Times New Roman" w:hAnsi="Times New Roman" w:eastAsia="宋体" w:cs="Times New Roman"/>
                <w:spacing w:val="0"/>
                <w:w w:val="100"/>
                <w:sz w:val="21"/>
                <w:szCs w:val="21"/>
              </w:rPr>
              <w:t>参加社会组织</w:t>
            </w:r>
            <w:r>
              <w:rPr>
                <w:rFonts w:hint="default" w:ascii="Times New Roman" w:hAnsi="Times New Roman" w:eastAsia="宋体" w:cs="Times New Roman"/>
                <w:spacing w:val="0"/>
                <w:w w:val="100"/>
                <w:sz w:val="21"/>
                <w:szCs w:val="21"/>
                <w:lang w:eastAsia="zh-CN"/>
              </w:rPr>
              <w:t>、</w:t>
            </w:r>
            <w:r>
              <w:rPr>
                <w:rFonts w:hint="default" w:ascii="Times New Roman" w:hAnsi="Times New Roman" w:eastAsia="宋体" w:cs="Times New Roman"/>
                <w:spacing w:val="0"/>
                <w:w w:val="100"/>
                <w:sz w:val="21"/>
                <w:szCs w:val="21"/>
              </w:rPr>
              <w:t>发挥</w:t>
            </w:r>
            <w:r>
              <w:rPr>
                <w:rFonts w:hint="default" w:ascii="Times New Roman" w:hAnsi="Times New Roman" w:eastAsia="宋体" w:cs="Times New Roman"/>
                <w:spacing w:val="0"/>
                <w:w w:val="100"/>
                <w:sz w:val="21"/>
                <w:szCs w:val="21"/>
                <w:lang w:val="en-US" w:eastAsia="zh-CN"/>
              </w:rPr>
              <w:t>行业</w:t>
            </w:r>
            <w:r>
              <w:rPr>
                <w:rFonts w:hint="default" w:ascii="Times New Roman" w:hAnsi="Times New Roman" w:eastAsia="宋体" w:cs="Times New Roman"/>
                <w:spacing w:val="0"/>
                <w:w w:val="100"/>
                <w:sz w:val="21"/>
                <w:szCs w:val="21"/>
              </w:rPr>
              <w:t>引领作用</w:t>
            </w:r>
            <w:r>
              <w:rPr>
                <w:rFonts w:hint="default" w:ascii="Times New Roman" w:hAnsi="Times New Roman" w:eastAsia="宋体" w:cs="Times New Roman"/>
                <w:spacing w:val="0"/>
                <w:w w:val="100"/>
                <w:sz w:val="21"/>
                <w:szCs w:val="21"/>
                <w:lang w:eastAsia="zh-CN"/>
              </w:rPr>
              <w:t>、</w:t>
            </w:r>
            <w:r>
              <w:rPr>
                <w:rFonts w:hint="default" w:ascii="Times New Roman" w:hAnsi="Times New Roman" w:eastAsia="宋体" w:cs="Times New Roman"/>
                <w:spacing w:val="0"/>
                <w:w w:val="100"/>
                <w:sz w:val="21"/>
                <w:szCs w:val="21"/>
                <w:lang w:val="en-US" w:eastAsia="zh-CN"/>
              </w:rPr>
              <w:t>组织义诊以及</w:t>
            </w:r>
            <w:r>
              <w:rPr>
                <w:rFonts w:hint="default" w:ascii="Times New Roman" w:hAnsi="Times New Roman" w:eastAsia="宋体" w:cs="Times New Roman"/>
                <w:spacing w:val="0"/>
                <w:w w:val="100"/>
                <w:sz w:val="21"/>
                <w:szCs w:val="21"/>
              </w:rPr>
              <w:t>参加社区</w:t>
            </w:r>
            <w:r>
              <w:rPr>
                <w:rFonts w:hint="default" w:ascii="Times New Roman" w:hAnsi="Times New Roman" w:eastAsia="宋体" w:cs="Times New Roman"/>
                <w:spacing w:val="0"/>
                <w:w w:val="100"/>
                <w:sz w:val="21"/>
                <w:szCs w:val="21"/>
                <w:lang w:val="en-US" w:eastAsia="zh-CN"/>
              </w:rPr>
              <w:t>医疗等</w:t>
            </w:r>
            <w:r>
              <w:rPr>
                <w:rFonts w:hint="default" w:ascii="Times New Roman" w:hAnsi="Times New Roman" w:eastAsia="宋体" w:cs="Times New Roman"/>
                <w:spacing w:val="0"/>
                <w:w w:val="100"/>
                <w:sz w:val="21"/>
                <w:szCs w:val="21"/>
              </w:rPr>
              <w:t>活动</w:t>
            </w:r>
            <w:r>
              <w:rPr>
                <w:rFonts w:hint="default" w:ascii="Times New Roman" w:hAnsi="Times New Roman" w:eastAsia="宋体" w:cs="Times New Roman"/>
                <w:spacing w:val="0"/>
                <w:w w:val="100"/>
                <w:sz w:val="21"/>
                <w:szCs w:val="21"/>
                <w:lang w:val="en-US" w:eastAsia="zh-CN"/>
              </w:rPr>
              <w:t>并营造重视质量、关注质量和享受质量的氛围。</w:t>
            </w:r>
          </w:p>
        </w:tc>
        <w:tc>
          <w:tcPr>
            <w:tcW w:w="1271"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3" w:type="dxa"/>
            <w:vMerge w:val="restart"/>
            <w:vAlign w:val="center"/>
          </w:tcPr>
          <w:p>
            <w:pPr>
              <w:numPr>
                <w:ilvl w:val="0"/>
                <w:numId w:val="0"/>
              </w:numPr>
              <w:wordWrap/>
              <w:adjustRightInd/>
              <w:snapToGrid/>
              <w:spacing w:line="320" w:lineRule="exact"/>
              <w:ind w:left="0" w:leftChars="0" w:firstLine="0" w:firstLineChars="0"/>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2</w:t>
            </w:r>
          </w:p>
        </w:tc>
        <w:tc>
          <w:tcPr>
            <w:tcW w:w="1043" w:type="dxa"/>
            <w:vMerge w:val="restart"/>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质量</w:t>
            </w:r>
          </w:p>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300分</w:t>
            </w:r>
          </w:p>
        </w:tc>
        <w:tc>
          <w:tcPr>
            <w:tcW w:w="2243" w:type="dxa"/>
            <w:vAlign w:val="center"/>
          </w:tcPr>
          <w:p>
            <w:pPr>
              <w:widowControl w:val="0"/>
              <w:wordWrap/>
              <w:adjustRightInd/>
              <w:snapToGrid/>
              <w:spacing w:line="34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2.1质量管理</w:t>
            </w:r>
          </w:p>
        </w:tc>
        <w:tc>
          <w:tcPr>
            <w:tcW w:w="9772" w:type="dxa"/>
            <w:vAlign w:val="top"/>
          </w:tcPr>
          <w:p>
            <w:pPr>
              <w:widowControl w:val="0"/>
              <w:numPr>
                <w:ilvl w:val="0"/>
                <w:numId w:val="79"/>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sz w:val="21"/>
                <w:szCs w:val="21"/>
                <w:highlight w:val="none"/>
                <w:lang w:val="en-US" w:eastAsia="zh-CN"/>
              </w:rPr>
            </w:pPr>
            <w:r>
              <w:rPr>
                <w:rFonts w:hint="default" w:ascii="Times New Roman" w:hAnsi="Times New Roman" w:eastAsia="宋体" w:cs="Times New Roman"/>
                <w:spacing w:val="0"/>
                <w:w w:val="100"/>
                <w:sz w:val="21"/>
                <w:szCs w:val="21"/>
                <w:highlight w:val="none"/>
                <w:lang w:val="en-US" w:eastAsia="zh-CN"/>
              </w:rPr>
              <w:t>如何运用云计算、大数据、物联网、区块链、第五代移动通信（5G）等新一代信息技术进行药学、药事、护理及门急诊等医疗服务质量管理，并建立规范诊疗行为的标准化管理机制。</w:t>
            </w:r>
          </w:p>
          <w:p>
            <w:pPr>
              <w:widowControl w:val="0"/>
              <w:numPr>
                <w:ilvl w:val="0"/>
                <w:numId w:val="79"/>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sz w:val="21"/>
                <w:szCs w:val="21"/>
                <w:highlight w:val="none"/>
                <w:lang w:val="en-US" w:eastAsia="zh-CN"/>
              </w:rPr>
            </w:pPr>
            <w:r>
              <w:rPr>
                <w:rFonts w:hint="default" w:ascii="Times New Roman" w:hAnsi="Times New Roman" w:eastAsia="宋体" w:cs="Times New Roman"/>
                <w:spacing w:val="0"/>
                <w:w w:val="100"/>
                <w:sz w:val="21"/>
                <w:szCs w:val="21"/>
                <w:highlight w:val="none"/>
                <w:lang w:val="en-US" w:eastAsia="zh-CN"/>
              </w:rPr>
              <w:t>如何收集医疗质量信息并进行及时分析和反馈，以对医疗质量问题和医疗安全风险进行预警。</w:t>
            </w:r>
          </w:p>
          <w:p>
            <w:pPr>
              <w:widowControl w:val="0"/>
              <w:numPr>
                <w:ilvl w:val="0"/>
                <w:numId w:val="79"/>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kern w:val="2"/>
                <w:sz w:val="21"/>
                <w:szCs w:val="21"/>
                <w:highlight w:val="none"/>
                <w:lang w:val="en-US" w:eastAsia="zh-CN" w:bidi="ar-SA"/>
              </w:rPr>
            </w:pPr>
            <w:r>
              <w:rPr>
                <w:rFonts w:hint="default" w:ascii="Times New Roman" w:hAnsi="Times New Roman" w:eastAsia="宋体" w:cs="Times New Roman"/>
                <w:spacing w:val="0"/>
                <w:w w:val="100"/>
                <w:sz w:val="21"/>
                <w:szCs w:val="21"/>
                <w:highlight w:val="none"/>
                <w:lang w:val="en-US" w:eastAsia="zh-CN"/>
              </w:rPr>
              <w:t>如何在医疗流程中采用计算机网络进行患者就诊信息管理，包括开通远程网络诊疗系统。</w:t>
            </w:r>
          </w:p>
        </w:tc>
        <w:tc>
          <w:tcPr>
            <w:tcW w:w="1271"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3" w:type="dxa"/>
            <w:vMerge w:val="continue"/>
            <w:vAlign w:val="center"/>
          </w:tcPr>
          <w:p>
            <w:pPr>
              <w:wordWrap/>
              <w:adjustRightInd/>
              <w:snapToGrid/>
              <w:spacing w:line="32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1043" w:type="dxa"/>
            <w:vMerge w:val="continue"/>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rPr>
            </w:pPr>
          </w:p>
        </w:tc>
        <w:tc>
          <w:tcPr>
            <w:tcW w:w="2243" w:type="dxa"/>
            <w:vAlign w:val="center"/>
          </w:tcPr>
          <w:p>
            <w:pPr>
              <w:widowControl w:val="0"/>
              <w:wordWrap/>
              <w:adjustRightInd/>
              <w:snapToGrid/>
              <w:spacing w:line="34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2.2质量安全</w:t>
            </w:r>
          </w:p>
        </w:tc>
        <w:tc>
          <w:tcPr>
            <w:tcW w:w="9772" w:type="dxa"/>
            <w:vAlign w:val="top"/>
          </w:tcPr>
          <w:p>
            <w:pPr>
              <w:widowControl w:val="0"/>
              <w:numPr>
                <w:ilvl w:val="0"/>
                <w:numId w:val="80"/>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sz w:val="21"/>
                <w:szCs w:val="21"/>
                <w:highlight w:val="none"/>
                <w:lang w:val="en-US" w:eastAsia="zh-CN"/>
              </w:rPr>
            </w:pPr>
            <w:r>
              <w:rPr>
                <w:rFonts w:hint="default" w:ascii="Times New Roman" w:hAnsi="Times New Roman" w:eastAsia="宋体" w:cs="Times New Roman"/>
                <w:spacing w:val="0"/>
                <w:w w:val="100"/>
                <w:sz w:val="21"/>
                <w:szCs w:val="21"/>
                <w:highlight w:val="none"/>
                <w:lang w:val="en-US" w:eastAsia="zh-CN"/>
              </w:rPr>
              <w:t>如何提高医疗安全意识，履行质量安全责任并遵守医疗质量安全核心制度、应急预案和工作流程，加强医疗质量关键环节的安全与风险管理，做到合理检查、合理用药、合理治疗，落实患者安全目标。</w:t>
            </w:r>
          </w:p>
          <w:p>
            <w:pPr>
              <w:widowControl w:val="0"/>
              <w:numPr>
                <w:ilvl w:val="0"/>
                <w:numId w:val="80"/>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kern w:val="2"/>
                <w:sz w:val="21"/>
                <w:szCs w:val="21"/>
                <w:highlight w:val="none"/>
                <w:lang w:val="en-US" w:eastAsia="zh-CN" w:bidi="ar-SA"/>
              </w:rPr>
            </w:pPr>
            <w:r>
              <w:rPr>
                <w:rFonts w:hint="default" w:ascii="Times New Roman" w:hAnsi="Times New Roman" w:eastAsia="宋体" w:cs="Times New Roman"/>
                <w:spacing w:val="0"/>
                <w:w w:val="100"/>
                <w:sz w:val="21"/>
                <w:szCs w:val="21"/>
                <w:highlight w:val="none"/>
                <w:lang w:val="en-US" w:eastAsia="zh-CN"/>
              </w:rPr>
              <w:t>如何建立医疗质量(安全)不良事件报告制度，鼓励医疗机构和医务人员主动上报临床诊疗过程中的不良事件，促进信息共享，避免出现重大医疗事故或瞒报、漏报重大医疗过失事件的行为。</w:t>
            </w:r>
          </w:p>
        </w:tc>
        <w:tc>
          <w:tcPr>
            <w:tcW w:w="1271"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70分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3" w:type="dxa"/>
            <w:vMerge w:val="continue"/>
            <w:vAlign w:val="center"/>
          </w:tcPr>
          <w:p>
            <w:pPr>
              <w:wordWrap/>
              <w:adjustRightInd/>
              <w:snapToGrid/>
              <w:spacing w:line="32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1043" w:type="dxa"/>
            <w:vMerge w:val="continue"/>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rPr>
            </w:pPr>
          </w:p>
        </w:tc>
        <w:tc>
          <w:tcPr>
            <w:tcW w:w="2243" w:type="dxa"/>
            <w:vAlign w:val="center"/>
          </w:tcPr>
          <w:p>
            <w:pPr>
              <w:widowControl w:val="0"/>
              <w:wordWrap/>
              <w:adjustRightInd/>
              <w:snapToGrid/>
              <w:spacing w:line="34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2.3医防协同</w:t>
            </w:r>
          </w:p>
        </w:tc>
        <w:tc>
          <w:tcPr>
            <w:tcW w:w="9772" w:type="dxa"/>
            <w:vAlign w:val="top"/>
          </w:tcPr>
          <w:p>
            <w:pPr>
              <w:widowControl w:val="0"/>
              <w:numPr>
                <w:ilvl w:val="0"/>
                <w:numId w:val="81"/>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如何加强临床专科服务能力建设，促进专科协同发展。</w:t>
            </w:r>
          </w:p>
          <w:p>
            <w:pPr>
              <w:widowControl w:val="0"/>
              <w:numPr>
                <w:ilvl w:val="0"/>
                <w:numId w:val="81"/>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如何创新医防协同机制，包括建立人员通、信息通、资源通和监督监管相互制约的机制。</w:t>
            </w:r>
          </w:p>
        </w:tc>
        <w:tc>
          <w:tcPr>
            <w:tcW w:w="1271"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3" w:type="dxa"/>
            <w:vMerge w:val="continue"/>
            <w:vAlign w:val="center"/>
          </w:tcPr>
          <w:p>
            <w:pPr>
              <w:wordWrap/>
              <w:adjustRightInd/>
              <w:snapToGrid/>
              <w:spacing w:line="32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1043" w:type="dxa"/>
            <w:vMerge w:val="continue"/>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rPr>
            </w:pPr>
          </w:p>
        </w:tc>
        <w:tc>
          <w:tcPr>
            <w:tcW w:w="2243"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2.4教育培训</w:t>
            </w:r>
          </w:p>
        </w:tc>
        <w:tc>
          <w:tcPr>
            <w:tcW w:w="9772" w:type="dxa"/>
            <w:vAlign w:val="top"/>
          </w:tcPr>
          <w:p>
            <w:pPr>
              <w:widowControl w:val="0"/>
              <w:numPr>
                <w:ilvl w:val="0"/>
                <w:numId w:val="82"/>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kern w:val="2"/>
                <w:sz w:val="21"/>
                <w:szCs w:val="21"/>
                <w:lang w:val="en-US" w:eastAsia="zh-CN" w:bidi="ar-SA"/>
              </w:rPr>
              <w:t>如何提高医务人员、专业技术人员整体素质，全面提升医疗质量，保障医疗安全。</w:t>
            </w:r>
          </w:p>
          <w:p>
            <w:pPr>
              <w:widowControl w:val="0"/>
              <w:numPr>
                <w:ilvl w:val="0"/>
                <w:numId w:val="82"/>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如何开展教育培训以提升医务工作者素质，包括开展</w:t>
            </w:r>
            <w:r>
              <w:rPr>
                <w:rFonts w:hint="default" w:ascii="Times New Roman" w:hAnsi="Times New Roman" w:eastAsia="宋体" w:cs="Times New Roman"/>
                <w:spacing w:val="0"/>
                <w:w w:val="100"/>
                <w:kern w:val="2"/>
                <w:sz w:val="21"/>
                <w:szCs w:val="21"/>
                <w:lang w:val="en-US" w:eastAsia="zh-CN" w:bidi="ar-SA"/>
              </w:rPr>
              <w:t>质量技能培训、</w:t>
            </w:r>
            <w:r>
              <w:rPr>
                <w:rFonts w:hint="default" w:ascii="Times New Roman" w:hAnsi="Times New Roman" w:eastAsia="宋体" w:cs="Times New Roman"/>
                <w:spacing w:val="0"/>
                <w:w w:val="100"/>
                <w:sz w:val="21"/>
                <w:szCs w:val="21"/>
                <w:lang w:val="en-US" w:eastAsia="zh-CN"/>
              </w:rPr>
              <w:t>职业技术资格认定、质量技能教育和培训，以及</w:t>
            </w:r>
            <w:r>
              <w:rPr>
                <w:rFonts w:hint="default" w:ascii="Times New Roman" w:hAnsi="Times New Roman" w:eastAsia="宋体" w:cs="Times New Roman"/>
                <w:spacing w:val="0"/>
                <w:w w:val="100"/>
                <w:kern w:val="2"/>
                <w:sz w:val="21"/>
                <w:szCs w:val="21"/>
                <w:lang w:val="en-US" w:eastAsia="zh-CN" w:bidi="ar-SA"/>
              </w:rPr>
              <w:t>医疗质量管理相关法律、法规、规章制度、技术规范、标准、诊疗常规及指南的培训和宣传教育，强化医务人员的责任担当。</w:t>
            </w:r>
          </w:p>
          <w:p>
            <w:pPr>
              <w:widowControl w:val="0"/>
              <w:numPr>
                <w:ilvl w:val="0"/>
                <w:numId w:val="82"/>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如何建立医务工作者的质量激励机制和质量考核制度，引导、鼓励和鞭策医务工作者积极参与组织的改进和创新。</w:t>
            </w:r>
          </w:p>
        </w:tc>
        <w:tc>
          <w:tcPr>
            <w:tcW w:w="1271"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65分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3" w:type="dxa"/>
            <w:vMerge w:val="continue"/>
            <w:vAlign w:val="center"/>
          </w:tcPr>
          <w:p>
            <w:pPr>
              <w:wordWrap/>
              <w:adjustRightInd/>
              <w:snapToGrid/>
              <w:spacing w:line="32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1043" w:type="dxa"/>
            <w:vMerge w:val="continue"/>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rPr>
            </w:pPr>
          </w:p>
        </w:tc>
        <w:tc>
          <w:tcPr>
            <w:tcW w:w="2243"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2.5持续改进</w:t>
            </w:r>
          </w:p>
        </w:tc>
        <w:tc>
          <w:tcPr>
            <w:tcW w:w="9772" w:type="dxa"/>
            <w:vAlign w:val="top"/>
          </w:tcPr>
          <w:p>
            <w:pPr>
              <w:widowControl w:val="0"/>
              <w:numPr>
                <w:ilvl w:val="0"/>
                <w:numId w:val="83"/>
              </w:numPr>
              <w:shd w:val="clear" w:color="auto" w:fill="auto"/>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highlight w:val="none"/>
                <w:lang w:val="en-US" w:eastAsia="zh-CN"/>
              </w:rPr>
            </w:pPr>
            <w:r>
              <w:rPr>
                <w:rFonts w:hint="default" w:ascii="Times New Roman" w:hAnsi="Times New Roman" w:eastAsia="宋体" w:cs="Times New Roman"/>
                <w:spacing w:val="0"/>
                <w:w w:val="100"/>
                <w:sz w:val="21"/>
                <w:szCs w:val="21"/>
                <w:lang w:val="en-US" w:eastAsia="zh-CN"/>
              </w:rPr>
              <w:t>如何针对</w:t>
            </w:r>
            <w:r>
              <w:rPr>
                <w:rFonts w:hint="default" w:ascii="Times New Roman" w:hAnsi="Times New Roman" w:eastAsia="宋体" w:cs="Times New Roman"/>
                <w:spacing w:val="0"/>
                <w:w w:val="100"/>
                <w:sz w:val="21"/>
                <w:szCs w:val="21"/>
                <w:highlight w:val="none"/>
                <w:lang w:val="en-US" w:eastAsia="zh-CN"/>
              </w:rPr>
              <w:t>存在的医疗、医患问题及时采取有效干预措施，并评估干预效果，促进医疗质量的持续改进。</w:t>
            </w:r>
          </w:p>
          <w:p>
            <w:pPr>
              <w:widowControl w:val="0"/>
              <w:numPr>
                <w:ilvl w:val="0"/>
                <w:numId w:val="83"/>
              </w:numPr>
              <w:shd w:val="clear" w:color="auto" w:fill="auto"/>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highlight w:val="none"/>
                <w:lang w:val="en-US" w:eastAsia="zh-CN"/>
              </w:rPr>
            </w:pPr>
            <w:r>
              <w:rPr>
                <w:rFonts w:hint="default" w:ascii="Times New Roman" w:hAnsi="Times New Roman" w:eastAsia="宋体" w:cs="Times New Roman"/>
                <w:spacing w:val="0"/>
                <w:w w:val="100"/>
                <w:sz w:val="21"/>
                <w:szCs w:val="21"/>
                <w:highlight w:val="none"/>
                <w:lang w:val="en-US" w:eastAsia="zh-CN"/>
              </w:rPr>
              <w:t>如何优化和改进患者就医流程和为患者提供的医疗服务。</w:t>
            </w:r>
          </w:p>
          <w:p>
            <w:pPr>
              <w:widowControl w:val="0"/>
              <w:numPr>
                <w:ilvl w:val="0"/>
                <w:numId w:val="83"/>
              </w:numPr>
              <w:shd w:val="clear" w:color="auto" w:fill="auto"/>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highlight w:val="none"/>
                <w:lang w:val="en-US" w:eastAsia="zh-CN"/>
              </w:rPr>
              <w:t>如何运用医疗质量管理工具开展医疗质量管理与自我评价，对诊疗流程的优化、现场管理中存在的问题及服务效率的提升与持续改进。</w:t>
            </w:r>
          </w:p>
        </w:tc>
        <w:tc>
          <w:tcPr>
            <w:tcW w:w="1271"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55分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3" w:type="dxa"/>
            <w:vMerge w:val="restart"/>
            <w:vAlign w:val="center"/>
          </w:tcPr>
          <w:p>
            <w:pPr>
              <w:numPr>
                <w:ilvl w:val="0"/>
                <w:numId w:val="0"/>
              </w:numPr>
              <w:wordWrap/>
              <w:adjustRightInd/>
              <w:snapToGrid/>
              <w:spacing w:line="320" w:lineRule="exact"/>
              <w:ind w:left="0" w:leftChars="0" w:firstLine="0" w:firstLineChars="0"/>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w:t>
            </w:r>
          </w:p>
        </w:tc>
        <w:tc>
          <w:tcPr>
            <w:tcW w:w="1043" w:type="dxa"/>
            <w:vMerge w:val="restart"/>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创新</w:t>
            </w:r>
          </w:p>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200分</w:t>
            </w:r>
          </w:p>
        </w:tc>
        <w:tc>
          <w:tcPr>
            <w:tcW w:w="2243"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3.1创新能力</w:t>
            </w:r>
          </w:p>
        </w:tc>
        <w:tc>
          <w:tcPr>
            <w:tcW w:w="9772" w:type="dxa"/>
            <w:vAlign w:val="top"/>
          </w:tcPr>
          <w:p>
            <w:pPr>
              <w:widowControl w:val="0"/>
              <w:numPr>
                <w:ilvl w:val="0"/>
                <w:numId w:val="84"/>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如何面向国家战略需求和医药卫生领域重大科学问题提升医疗科研团队的创新能力。</w:t>
            </w:r>
          </w:p>
          <w:p>
            <w:pPr>
              <w:widowControl w:val="0"/>
              <w:numPr>
                <w:ilvl w:val="0"/>
                <w:numId w:val="84"/>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如何加强以满足临床需求为导向的临床专科建设，以专科发展带动诊疗能力和水平提升。</w:t>
            </w:r>
          </w:p>
          <w:p>
            <w:pPr>
              <w:widowControl w:val="0"/>
              <w:numPr>
                <w:ilvl w:val="0"/>
                <w:numId w:val="84"/>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highlight w:val="none"/>
                <w:lang w:val="en-US" w:eastAsia="zh-CN"/>
              </w:rPr>
            </w:pPr>
            <w:r>
              <w:rPr>
                <w:rFonts w:hint="default" w:ascii="Times New Roman" w:hAnsi="Times New Roman" w:eastAsia="宋体" w:cs="Times New Roman"/>
                <w:spacing w:val="0"/>
                <w:w w:val="100"/>
                <w:sz w:val="21"/>
                <w:szCs w:val="21"/>
                <w:lang w:val="en-US" w:eastAsia="zh-CN"/>
              </w:rPr>
              <w:t>如何强化科研攻关对重大疫情和突发公共卫生事件应对的支撑作用。</w:t>
            </w:r>
          </w:p>
        </w:tc>
        <w:tc>
          <w:tcPr>
            <w:tcW w:w="1271"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80分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3" w:type="dxa"/>
            <w:vMerge w:val="continue"/>
            <w:vAlign w:val="center"/>
          </w:tcPr>
          <w:p>
            <w:pPr>
              <w:numPr>
                <w:ilvl w:val="0"/>
                <w:numId w:val="2"/>
              </w:numPr>
              <w:wordWrap/>
              <w:adjustRightInd/>
              <w:snapToGrid/>
              <w:spacing w:line="32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1043" w:type="dxa"/>
            <w:vMerge w:val="continue"/>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p>
        </w:tc>
        <w:tc>
          <w:tcPr>
            <w:tcW w:w="2243"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3.2服务创新</w:t>
            </w:r>
          </w:p>
        </w:tc>
        <w:tc>
          <w:tcPr>
            <w:tcW w:w="9772" w:type="dxa"/>
            <w:vAlign w:val="top"/>
          </w:tcPr>
          <w:p>
            <w:pPr>
              <w:widowControl w:val="0"/>
              <w:numPr>
                <w:ilvl w:val="0"/>
                <w:numId w:val="85"/>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highlight w:val="none"/>
                <w:lang w:val="en-US" w:eastAsia="zh-CN"/>
              </w:rPr>
            </w:pPr>
            <w:r>
              <w:rPr>
                <w:rFonts w:hint="default" w:ascii="Times New Roman" w:hAnsi="Times New Roman" w:eastAsia="宋体" w:cs="Times New Roman"/>
                <w:spacing w:val="0"/>
                <w:w w:val="100"/>
                <w:sz w:val="21"/>
                <w:szCs w:val="21"/>
                <w:highlight w:val="none"/>
                <w:lang w:val="en-US" w:eastAsia="zh-CN"/>
              </w:rPr>
              <w:t>如何推动医疗服务模式创新，包括针对具体医疗质量问题，创新质量管理工具和方法，以使各项活动更加有效。</w:t>
            </w:r>
          </w:p>
          <w:p>
            <w:pPr>
              <w:widowControl w:val="0"/>
              <w:numPr>
                <w:ilvl w:val="0"/>
                <w:numId w:val="86"/>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如何创新急诊急救服务模式，有效提升医疗急救服务能力。</w:t>
            </w:r>
          </w:p>
          <w:p>
            <w:pPr>
              <w:widowControl w:val="0"/>
              <w:numPr>
                <w:ilvl w:val="0"/>
                <w:numId w:val="86"/>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highlight w:val="none"/>
                <w:lang w:val="en-US" w:eastAsia="zh-CN"/>
              </w:rPr>
            </w:pPr>
            <w:r>
              <w:rPr>
                <w:rFonts w:hint="default" w:ascii="Times New Roman" w:hAnsi="Times New Roman" w:eastAsia="宋体" w:cs="Times New Roman"/>
                <w:spacing w:val="0"/>
                <w:w w:val="100"/>
                <w:sz w:val="21"/>
                <w:szCs w:val="21"/>
                <w:lang w:val="en-US" w:eastAsia="zh-CN"/>
              </w:rPr>
              <w:t>如何推广多学科诊疗模式，包括中医综合诊疗模式、多专业一体化诊疗模式、全链条服务模式等。</w:t>
            </w:r>
          </w:p>
        </w:tc>
        <w:tc>
          <w:tcPr>
            <w:tcW w:w="1271"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3" w:type="dxa"/>
            <w:vMerge w:val="continue"/>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rPr>
            </w:pPr>
          </w:p>
        </w:tc>
        <w:tc>
          <w:tcPr>
            <w:tcW w:w="1043" w:type="dxa"/>
            <w:vMerge w:val="continue"/>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rPr>
            </w:pPr>
          </w:p>
        </w:tc>
        <w:tc>
          <w:tcPr>
            <w:tcW w:w="2243" w:type="dxa"/>
            <w:vAlign w:val="center"/>
          </w:tcPr>
          <w:p>
            <w:pPr>
              <w:widowControl w:val="0"/>
              <w:wordWrap/>
              <w:adjustRightInd/>
              <w:snapToGrid/>
              <w:spacing w:line="34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3.3技术创新</w:t>
            </w:r>
          </w:p>
        </w:tc>
        <w:tc>
          <w:tcPr>
            <w:tcW w:w="9772" w:type="dxa"/>
            <w:vAlign w:val="top"/>
          </w:tcPr>
          <w:p>
            <w:pPr>
              <w:widowControl w:val="0"/>
              <w:numPr>
                <w:ilvl w:val="0"/>
                <w:numId w:val="85"/>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如何面向生命科学、生物医药科技前沿加强基础和临床研究，推动原创性疾病预防诊断治疗新技术、新产品、新方案和新策略等的产出。</w:t>
            </w:r>
          </w:p>
          <w:p>
            <w:pPr>
              <w:widowControl w:val="0"/>
              <w:numPr>
                <w:ilvl w:val="0"/>
                <w:numId w:val="85"/>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sz w:val="21"/>
                <w:szCs w:val="21"/>
                <w:highlight w:val="none"/>
                <w:lang w:val="en-US" w:eastAsia="zh-CN"/>
              </w:rPr>
            </w:pPr>
            <w:r>
              <w:rPr>
                <w:rFonts w:hint="default" w:ascii="Times New Roman" w:hAnsi="Times New Roman" w:eastAsia="宋体" w:cs="Times New Roman"/>
                <w:spacing w:val="0"/>
                <w:w w:val="100"/>
                <w:sz w:val="21"/>
                <w:szCs w:val="21"/>
                <w:highlight w:val="none"/>
                <w:lang w:val="en-US" w:eastAsia="zh-CN"/>
              </w:rPr>
              <w:t>如何健全职务发明制度并推动科技成果转化，并把所获收益用于对作出重要贡献的人员奖励。</w:t>
            </w:r>
          </w:p>
          <w:p>
            <w:pPr>
              <w:widowControl w:val="0"/>
              <w:numPr>
                <w:ilvl w:val="0"/>
                <w:numId w:val="85"/>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highlight w:val="none"/>
                <w:lang w:val="en-US" w:eastAsia="zh-CN"/>
              </w:rPr>
              <w:t>如何建立自身核心技术或核心业务的技术体系，并有效保护自身的知识产权，包括海内外专利的申请和保护。</w:t>
            </w:r>
          </w:p>
        </w:tc>
        <w:tc>
          <w:tcPr>
            <w:tcW w:w="1271"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3" w:type="dxa"/>
            <w:vMerge w:val="restart"/>
            <w:vAlign w:val="center"/>
          </w:tcPr>
          <w:p>
            <w:pPr>
              <w:numPr>
                <w:ilvl w:val="0"/>
                <w:numId w:val="0"/>
              </w:numPr>
              <w:wordWrap/>
              <w:adjustRightInd/>
              <w:snapToGrid/>
              <w:spacing w:line="320" w:lineRule="exact"/>
              <w:ind w:left="0" w:leftChars="0" w:firstLine="0" w:firstLineChars="0"/>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4</w:t>
            </w:r>
          </w:p>
        </w:tc>
        <w:tc>
          <w:tcPr>
            <w:tcW w:w="1043" w:type="dxa"/>
            <w:vMerge w:val="restart"/>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品牌</w:t>
            </w:r>
          </w:p>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150分</w:t>
            </w:r>
          </w:p>
        </w:tc>
        <w:tc>
          <w:tcPr>
            <w:tcW w:w="2243" w:type="dxa"/>
            <w:vAlign w:val="center"/>
          </w:tcPr>
          <w:p>
            <w:pPr>
              <w:widowControl w:val="0"/>
              <w:wordWrap/>
              <w:adjustRightInd/>
              <w:snapToGrid/>
              <w:spacing w:line="34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4.1医患关系</w:t>
            </w:r>
          </w:p>
        </w:tc>
        <w:tc>
          <w:tcPr>
            <w:tcW w:w="9772" w:type="dxa"/>
            <w:vAlign w:val="top"/>
          </w:tcPr>
          <w:p>
            <w:pPr>
              <w:widowControl w:val="0"/>
              <w:numPr>
                <w:ilvl w:val="0"/>
                <w:numId w:val="87"/>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如何遵循安全、有效、经济的合理用药原则，尊重患者对药品使用的知情权。</w:t>
            </w:r>
          </w:p>
          <w:p>
            <w:pPr>
              <w:widowControl w:val="0"/>
              <w:numPr>
                <w:ilvl w:val="0"/>
                <w:numId w:val="87"/>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如何建立医患沟通渠道（如回访制度）、信息收集及防控机制，做好医患沟通交流，增进理解与信任，为构建和谐医患关系营造良好社会氛围。</w:t>
            </w:r>
          </w:p>
          <w:p>
            <w:pPr>
              <w:widowControl w:val="0"/>
              <w:numPr>
                <w:ilvl w:val="0"/>
                <w:numId w:val="87"/>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如何建立和完善医疗纠纷预防和处理机制、患者投诉及快速协调解决机制，并完善投诉管理，防范、处理、预防或减少医疗纠纷的发生。</w:t>
            </w:r>
          </w:p>
          <w:p>
            <w:pPr>
              <w:widowControl w:val="0"/>
              <w:numPr>
                <w:ilvl w:val="0"/>
                <w:numId w:val="87"/>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如何建立有效的探视管理制度以保证患者良好的休息环境。</w:t>
            </w:r>
          </w:p>
        </w:tc>
        <w:tc>
          <w:tcPr>
            <w:tcW w:w="1271" w:type="dxa"/>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75分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3" w:type="dxa"/>
            <w:vMerge w:val="continue"/>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p>
        </w:tc>
        <w:tc>
          <w:tcPr>
            <w:tcW w:w="1043" w:type="dxa"/>
            <w:vMerge w:val="continue"/>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p>
        </w:tc>
        <w:tc>
          <w:tcPr>
            <w:tcW w:w="2243" w:type="dxa"/>
            <w:tcMar>
              <w:top w:w="0" w:type="dxa"/>
              <w:left w:w="108" w:type="dxa"/>
              <w:bottom w:w="0" w:type="dxa"/>
              <w:right w:w="108" w:type="dxa"/>
            </w:tcMar>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4.2医务保护</w:t>
            </w:r>
          </w:p>
        </w:tc>
        <w:tc>
          <w:tcPr>
            <w:tcW w:w="9772" w:type="dxa"/>
            <w:vAlign w:val="top"/>
          </w:tcPr>
          <w:p>
            <w:pPr>
              <w:widowControl w:val="0"/>
              <w:numPr>
                <w:ilvl w:val="0"/>
                <w:numId w:val="88"/>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highlight w:val="none"/>
                <w:lang w:val="en-US" w:eastAsia="zh-CN"/>
              </w:rPr>
              <w:t>如何提高风险防范意识，建立完善相关风险制度，利用医疗责任保险、医疗意外保险等风险分担形式，保障医患双方合法权益。</w:t>
            </w:r>
          </w:p>
          <w:p>
            <w:pPr>
              <w:widowControl w:val="0"/>
              <w:numPr>
                <w:ilvl w:val="0"/>
                <w:numId w:val="88"/>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如何建立保护和关心爱护医务人员的长效机制和职工关爱帮扶机制，切实解决医务人员实际困难。</w:t>
            </w:r>
          </w:p>
          <w:p>
            <w:pPr>
              <w:widowControl w:val="0"/>
              <w:numPr>
                <w:ilvl w:val="0"/>
                <w:numId w:val="88"/>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如何改善医务人员工作环境和条件，维护医务人员合法权益，保护医务人员安全。</w:t>
            </w:r>
          </w:p>
          <w:p>
            <w:pPr>
              <w:widowControl w:val="0"/>
              <w:numPr>
                <w:ilvl w:val="0"/>
                <w:numId w:val="88"/>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如何建立医务人员职业荣誉保护制度，特别是名医大师荣誉的保护。</w:t>
            </w:r>
          </w:p>
        </w:tc>
        <w:tc>
          <w:tcPr>
            <w:tcW w:w="1271"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75分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3" w:type="dxa"/>
            <w:vMerge w:val="restart"/>
            <w:vAlign w:val="center"/>
          </w:tcPr>
          <w:p>
            <w:pPr>
              <w:numPr>
                <w:ilvl w:val="0"/>
                <w:numId w:val="0"/>
              </w:numPr>
              <w:wordWrap/>
              <w:adjustRightInd/>
              <w:snapToGrid/>
              <w:spacing w:line="320" w:lineRule="exact"/>
              <w:ind w:left="0" w:leftChars="0" w:firstLine="0" w:firstLineChars="0"/>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w:t>
            </w:r>
          </w:p>
        </w:tc>
        <w:tc>
          <w:tcPr>
            <w:tcW w:w="1043" w:type="dxa"/>
            <w:vMerge w:val="restart"/>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效益</w:t>
            </w:r>
          </w:p>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200分</w:t>
            </w:r>
          </w:p>
        </w:tc>
        <w:tc>
          <w:tcPr>
            <w:tcW w:w="2243" w:type="dxa"/>
            <w:tcMar>
              <w:top w:w="0" w:type="dxa"/>
              <w:left w:w="108" w:type="dxa"/>
              <w:bottom w:w="0" w:type="dxa"/>
              <w:right w:w="108" w:type="dxa"/>
            </w:tcMar>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5.1质量水平</w:t>
            </w:r>
          </w:p>
        </w:tc>
        <w:tc>
          <w:tcPr>
            <w:tcW w:w="9772" w:type="dxa"/>
            <w:vAlign w:val="top"/>
          </w:tcPr>
          <w:p>
            <w:pPr>
              <w:widowControl w:val="0"/>
              <w:numPr>
                <w:ilvl w:val="0"/>
                <w:numId w:val="89"/>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说明关键医疗质量控制指标的现实状况及发展趋势。</w:t>
            </w:r>
          </w:p>
          <w:p>
            <w:pPr>
              <w:widowControl w:val="0"/>
              <w:numPr>
                <w:ilvl w:val="0"/>
                <w:numId w:val="89"/>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说明患者安全情况，如住院患者跌倒发生率、近5年医疗器械消毒灭菌合格率及药物不良反应报告例数、抗菌药物使用合理率及合理处方百分率等。</w:t>
            </w:r>
          </w:p>
          <w:p>
            <w:pPr>
              <w:widowControl w:val="0"/>
              <w:numPr>
                <w:ilvl w:val="0"/>
                <w:numId w:val="89"/>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治疗质量状况，如手术冰冻与石蜡病理诊断符合率、恶性肿瘤手术前诊断与术后病理诊断符合率、患者放弃治疗自动出院率、住院手术例数、死亡例、住院危重抢救例数、死亡例数、急诊科危重抢救例数、死亡例数等。</w:t>
            </w:r>
          </w:p>
        </w:tc>
        <w:tc>
          <w:tcPr>
            <w:tcW w:w="1271"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3" w:type="dxa"/>
            <w:vMerge w:val="continue"/>
            <w:vAlign w:val="center"/>
          </w:tcPr>
          <w:p>
            <w:pPr>
              <w:numPr>
                <w:ilvl w:val="0"/>
                <w:numId w:val="2"/>
              </w:numPr>
              <w:wordWrap/>
              <w:adjustRightInd/>
              <w:snapToGrid/>
              <w:spacing w:line="32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1043" w:type="dxa"/>
            <w:vMerge w:val="continue"/>
            <w:vAlign w:val="center"/>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p>
        </w:tc>
        <w:tc>
          <w:tcPr>
            <w:tcW w:w="2243" w:type="dxa"/>
            <w:tcMar>
              <w:top w:w="0" w:type="dxa"/>
              <w:left w:w="108" w:type="dxa"/>
              <w:bottom w:w="0" w:type="dxa"/>
              <w:right w:w="108" w:type="dxa"/>
            </w:tcMar>
            <w:vAlign w:val="center"/>
          </w:tcPr>
          <w:p>
            <w:pPr>
              <w:widowControl w:val="0"/>
              <w:wordWrap/>
              <w:adjustRightInd/>
              <w:snapToGrid/>
              <w:spacing w:line="29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5.2创新价值</w:t>
            </w:r>
          </w:p>
        </w:tc>
        <w:tc>
          <w:tcPr>
            <w:tcW w:w="9772" w:type="dxa"/>
            <w:vAlign w:val="top"/>
          </w:tcPr>
          <w:p>
            <w:pPr>
              <w:widowControl w:val="0"/>
              <w:numPr>
                <w:ilvl w:val="0"/>
                <w:numId w:val="90"/>
              </w:numPr>
              <w:wordWrap/>
              <w:adjustRightInd/>
              <w:snapToGrid/>
              <w:spacing w:line="290" w:lineRule="exact"/>
              <w:ind w:left="225" w:leftChars="0" w:hanging="225" w:firstLineChars="0"/>
              <w:jc w:val="both"/>
              <w:textAlignment w:val="auto"/>
              <w:rPr>
                <w:rFonts w:hint="default" w:ascii="Times New Roman" w:hAnsi="Times New Roman" w:eastAsia="宋体" w:cs="Times New Roman"/>
                <w:spacing w:val="0"/>
                <w:w w:val="100"/>
                <w:kern w:val="2"/>
                <w:sz w:val="21"/>
                <w:szCs w:val="21"/>
                <w:highlight w:val="none"/>
                <w:lang w:val="en-US" w:eastAsia="zh-CN" w:bidi="ar-SA"/>
              </w:rPr>
            </w:pPr>
            <w:r>
              <w:rPr>
                <w:rFonts w:hint="default" w:ascii="Times New Roman" w:hAnsi="Times New Roman" w:eastAsia="宋体" w:cs="Times New Roman"/>
                <w:spacing w:val="0"/>
                <w:w w:val="100"/>
                <w:kern w:val="2"/>
                <w:sz w:val="21"/>
                <w:szCs w:val="21"/>
                <w:highlight w:val="none"/>
                <w:lang w:val="en-US" w:eastAsia="zh-CN" w:bidi="ar-SA"/>
              </w:rPr>
              <w:t>说明在哪些医疗项目方面具有特色以及在创新成果、核心技术、科研方面获得的奖励情况。</w:t>
            </w:r>
          </w:p>
          <w:p>
            <w:pPr>
              <w:widowControl w:val="0"/>
              <w:numPr>
                <w:ilvl w:val="0"/>
                <w:numId w:val="90"/>
              </w:numPr>
              <w:wordWrap/>
              <w:adjustRightInd/>
              <w:snapToGrid/>
              <w:spacing w:line="290" w:lineRule="exact"/>
              <w:ind w:left="225" w:leftChars="0" w:hanging="225" w:firstLineChars="0"/>
              <w:jc w:val="both"/>
              <w:textAlignment w:val="auto"/>
              <w:rPr>
                <w:rFonts w:hint="default" w:ascii="Times New Roman" w:hAnsi="Times New Roman" w:eastAsia="宋体" w:cs="Times New Roman"/>
                <w:spacing w:val="0"/>
                <w:w w:val="100"/>
                <w:kern w:val="2"/>
                <w:sz w:val="21"/>
                <w:szCs w:val="21"/>
                <w:highlight w:val="none"/>
                <w:lang w:val="en-US" w:eastAsia="zh-CN" w:bidi="ar-SA"/>
              </w:rPr>
            </w:pPr>
            <w:r>
              <w:rPr>
                <w:rFonts w:hint="default" w:ascii="Times New Roman" w:hAnsi="Times New Roman" w:eastAsia="宋体" w:cs="Times New Roman"/>
                <w:spacing w:val="0"/>
                <w:w w:val="100"/>
                <w:kern w:val="2"/>
                <w:sz w:val="21"/>
                <w:szCs w:val="21"/>
                <w:highlight w:val="none"/>
                <w:lang w:val="en-US" w:eastAsia="zh-CN" w:bidi="ar-SA"/>
              </w:rPr>
              <w:t>说明科研项目、科研水平、新技术的开发与应用及用于科研的经费使用与发展情况。</w:t>
            </w:r>
          </w:p>
          <w:p>
            <w:pPr>
              <w:widowControl w:val="0"/>
              <w:numPr>
                <w:ilvl w:val="0"/>
                <w:numId w:val="90"/>
              </w:numPr>
              <w:wordWrap/>
              <w:adjustRightInd/>
              <w:snapToGrid/>
              <w:spacing w:line="290" w:lineRule="exact"/>
              <w:ind w:left="225" w:leftChars="0" w:hanging="225" w:firstLineChars="0"/>
              <w:jc w:val="both"/>
              <w:textAlignment w:val="auto"/>
              <w:rPr>
                <w:rFonts w:hint="default" w:ascii="Times New Roman" w:hAnsi="Times New Roman" w:eastAsia="宋体" w:cs="Times New Roman"/>
                <w:spacing w:val="0"/>
                <w:w w:val="100"/>
                <w:kern w:val="2"/>
                <w:sz w:val="21"/>
                <w:szCs w:val="21"/>
                <w:highlight w:val="none"/>
                <w:lang w:val="en-US" w:eastAsia="zh-CN" w:bidi="ar-SA"/>
              </w:rPr>
            </w:pPr>
            <w:r>
              <w:rPr>
                <w:rFonts w:hint="default" w:ascii="Times New Roman" w:hAnsi="Times New Roman" w:eastAsia="宋体" w:cs="Times New Roman"/>
                <w:spacing w:val="0"/>
                <w:w w:val="100"/>
                <w:kern w:val="2"/>
                <w:sz w:val="21"/>
                <w:szCs w:val="21"/>
                <w:highlight w:val="none"/>
                <w:lang w:val="en-US" w:eastAsia="zh-CN" w:bidi="ar-SA"/>
              </w:rPr>
              <w:t>说明参与国际、国家标准（技术标准）的制修订及科研成果（近五年）等情况，如国内论文数及被引用次数（以全国中文核心期刊和中国科技核心期刊发布信息为准）、承担与完成国家、省级科研课题数、获得国家、省级科研基金额度等。</w:t>
            </w:r>
          </w:p>
        </w:tc>
        <w:tc>
          <w:tcPr>
            <w:tcW w:w="1271"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3" w:type="dxa"/>
            <w:vMerge w:val="continue"/>
            <w:vAlign w:val="top"/>
          </w:tcPr>
          <w:p>
            <w:pPr>
              <w:wordWrap/>
              <w:adjustRightInd/>
              <w:snapToGrid/>
              <w:spacing w:line="32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1043" w:type="dxa"/>
            <w:vMerge w:val="continue"/>
            <w:vAlign w:val="top"/>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p>
        </w:tc>
        <w:tc>
          <w:tcPr>
            <w:tcW w:w="2243" w:type="dxa"/>
            <w:tcMar>
              <w:top w:w="0" w:type="dxa"/>
              <w:left w:w="108" w:type="dxa"/>
              <w:bottom w:w="0" w:type="dxa"/>
              <w:right w:w="108" w:type="dxa"/>
            </w:tcMar>
            <w:vAlign w:val="center"/>
          </w:tcPr>
          <w:p>
            <w:pPr>
              <w:widowControl w:val="0"/>
              <w:wordWrap/>
              <w:adjustRightInd/>
              <w:snapToGrid/>
              <w:spacing w:line="29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5.3运营绩效</w:t>
            </w:r>
          </w:p>
        </w:tc>
        <w:tc>
          <w:tcPr>
            <w:tcW w:w="9772" w:type="dxa"/>
            <w:vAlign w:val="top"/>
          </w:tcPr>
          <w:p>
            <w:pPr>
              <w:widowControl w:val="0"/>
              <w:numPr>
                <w:ilvl w:val="0"/>
                <w:numId w:val="91"/>
              </w:numPr>
              <w:wordWrap/>
              <w:adjustRightInd/>
              <w:snapToGrid/>
              <w:spacing w:line="29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说明资源配置情况，如实际开放床位、重症医学科实际开放床位、急诊留观实际开放床位、员工总数、卫生技术人员数（其中：医师数、护理人员数、医技人数）等。</w:t>
            </w:r>
          </w:p>
          <w:p>
            <w:pPr>
              <w:widowControl w:val="0"/>
              <w:numPr>
                <w:ilvl w:val="0"/>
                <w:numId w:val="91"/>
              </w:numPr>
              <w:wordWrap/>
              <w:adjustRightInd/>
              <w:snapToGrid/>
              <w:spacing w:line="29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说明工作效率，如出院患者平均住院日、平均每张床位工作日、床位使用率、床位周转次数、从其他医院转来的患者数量占医治患者总数量的比例等情况。</w:t>
            </w:r>
          </w:p>
          <w:p>
            <w:pPr>
              <w:widowControl w:val="0"/>
              <w:numPr>
                <w:ilvl w:val="0"/>
                <w:numId w:val="91"/>
              </w:numPr>
              <w:wordWrap/>
              <w:adjustRightInd/>
              <w:snapToGrid/>
              <w:spacing w:line="29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工作负荷，如年门诊人次、健康体检人次、年急诊人次、留观人次、年住院患者入院、出院例数，出院患者实际占用总床日、年住院手术例数、年门诊手术例数、医生人均每日担负诊疗次数、平均每日门（急）诊人次、平均每日手术台次等情况。</w:t>
            </w:r>
          </w:p>
          <w:p>
            <w:pPr>
              <w:widowControl w:val="0"/>
              <w:numPr>
                <w:ilvl w:val="0"/>
                <w:numId w:val="91"/>
              </w:numPr>
              <w:wordWrap/>
              <w:adjustRightInd/>
              <w:snapToGrid/>
              <w:spacing w:line="29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说明临床病例讨论和诊疗协议会次数及患者接受住院治疗的周期及患者平均治疗周期、危重病例、疑难病例的治愈比率在行业内的对比情况。</w:t>
            </w:r>
          </w:p>
        </w:tc>
        <w:tc>
          <w:tcPr>
            <w:tcW w:w="1271"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43" w:type="dxa"/>
            <w:vMerge w:val="continue"/>
            <w:vAlign w:val="top"/>
          </w:tcPr>
          <w:p>
            <w:pPr>
              <w:wordWrap/>
              <w:adjustRightInd/>
              <w:snapToGrid/>
              <w:spacing w:line="32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1043" w:type="dxa"/>
            <w:vMerge w:val="continue"/>
            <w:vAlign w:val="top"/>
          </w:tcPr>
          <w:p>
            <w:pPr>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p>
        </w:tc>
        <w:tc>
          <w:tcPr>
            <w:tcW w:w="2243" w:type="dxa"/>
            <w:tcMar>
              <w:top w:w="0" w:type="dxa"/>
              <w:left w:w="108" w:type="dxa"/>
              <w:bottom w:w="0" w:type="dxa"/>
              <w:right w:w="108" w:type="dxa"/>
            </w:tcMar>
            <w:vAlign w:val="center"/>
          </w:tcPr>
          <w:p>
            <w:pPr>
              <w:widowControl w:val="0"/>
              <w:wordWrap/>
              <w:adjustRightInd/>
              <w:snapToGrid/>
              <w:spacing w:line="29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5.4社会评价</w:t>
            </w:r>
          </w:p>
        </w:tc>
        <w:tc>
          <w:tcPr>
            <w:tcW w:w="9772" w:type="dxa"/>
            <w:vAlign w:val="top"/>
          </w:tcPr>
          <w:p>
            <w:pPr>
              <w:widowControl w:val="0"/>
              <w:numPr>
                <w:ilvl w:val="0"/>
                <w:numId w:val="92"/>
              </w:numPr>
              <w:wordWrap/>
              <w:adjustRightInd/>
              <w:snapToGrid/>
              <w:spacing w:line="290" w:lineRule="exact"/>
              <w:ind w:left="225" w:leftChars="0" w:hanging="225" w:firstLineChars="0"/>
              <w:jc w:val="both"/>
              <w:textAlignment w:val="auto"/>
              <w:rPr>
                <w:rFonts w:hint="default" w:ascii="Times New Roman" w:hAnsi="Times New Roman" w:eastAsia="宋体" w:cs="Times New Roman"/>
                <w:spacing w:val="0"/>
                <w:w w:val="100"/>
                <w:sz w:val="21"/>
                <w:szCs w:val="21"/>
                <w:highlight w:val="none"/>
                <w:lang w:val="en-US" w:eastAsia="zh-CN"/>
              </w:rPr>
            </w:pPr>
            <w:r>
              <w:rPr>
                <w:rFonts w:hint="default" w:ascii="Times New Roman" w:hAnsi="Times New Roman" w:eastAsia="宋体" w:cs="Times New Roman"/>
                <w:spacing w:val="0"/>
                <w:w w:val="100"/>
                <w:sz w:val="21"/>
                <w:szCs w:val="21"/>
                <w:highlight w:val="none"/>
                <w:lang w:val="en-US" w:eastAsia="zh-CN"/>
              </w:rPr>
              <w:t>说明医疗主管部门对本组织/团队的评价情况和获得的荣誉。</w:t>
            </w:r>
          </w:p>
          <w:p>
            <w:pPr>
              <w:widowControl w:val="0"/>
              <w:numPr>
                <w:ilvl w:val="0"/>
                <w:numId w:val="92"/>
              </w:numPr>
              <w:wordWrap/>
              <w:adjustRightInd/>
              <w:snapToGrid/>
              <w:spacing w:line="290" w:lineRule="exact"/>
              <w:ind w:left="225" w:leftChars="0" w:hanging="225" w:firstLineChars="0"/>
              <w:jc w:val="both"/>
              <w:textAlignment w:val="auto"/>
              <w:rPr>
                <w:rFonts w:hint="default" w:ascii="Times New Roman" w:hAnsi="Times New Roman" w:eastAsia="宋体" w:cs="Times New Roman"/>
                <w:spacing w:val="0"/>
                <w:w w:val="100"/>
                <w:sz w:val="21"/>
                <w:szCs w:val="21"/>
                <w:highlight w:val="none"/>
                <w:lang w:val="en-US" w:eastAsia="zh-CN"/>
              </w:rPr>
            </w:pPr>
            <w:r>
              <w:rPr>
                <w:rFonts w:hint="default" w:ascii="Times New Roman" w:hAnsi="Times New Roman" w:eastAsia="宋体" w:cs="Times New Roman"/>
                <w:spacing w:val="0"/>
                <w:w w:val="100"/>
                <w:sz w:val="21"/>
                <w:szCs w:val="21"/>
                <w:highlight w:val="none"/>
                <w:lang w:val="en-US" w:eastAsia="zh-CN"/>
              </w:rPr>
              <w:t>说明患者及相关方满意度测评及其结果应用情况。</w:t>
            </w:r>
          </w:p>
          <w:p>
            <w:pPr>
              <w:widowControl w:val="0"/>
              <w:numPr>
                <w:ilvl w:val="0"/>
                <w:numId w:val="92"/>
              </w:numPr>
              <w:wordWrap/>
              <w:adjustRightInd/>
              <w:snapToGrid/>
              <w:spacing w:line="290" w:lineRule="exact"/>
              <w:ind w:left="225" w:leftChars="0" w:hanging="225" w:firstLineChars="0"/>
              <w:jc w:val="both"/>
              <w:textAlignment w:val="auto"/>
              <w:rPr>
                <w:rFonts w:hint="default" w:ascii="Times New Roman" w:hAnsi="Times New Roman" w:eastAsia="宋体" w:cs="Times New Roman"/>
                <w:spacing w:val="0"/>
                <w:w w:val="100"/>
                <w:sz w:val="21"/>
                <w:szCs w:val="21"/>
                <w:highlight w:val="none"/>
                <w:lang w:val="en-US" w:eastAsia="zh-CN"/>
              </w:rPr>
            </w:pPr>
            <w:r>
              <w:rPr>
                <w:rFonts w:hint="default" w:ascii="Times New Roman" w:hAnsi="Times New Roman" w:eastAsia="宋体" w:cs="Times New Roman"/>
                <w:spacing w:val="0"/>
                <w:w w:val="100"/>
                <w:sz w:val="21"/>
                <w:szCs w:val="21"/>
                <w:highlight w:val="none"/>
                <w:lang w:val="en-US" w:eastAsia="zh-CN"/>
              </w:rPr>
              <w:t>说明社会相关机构对本组织/团队的评价情况和获得的荣誉（包括国内外质量奖励或荣誉）。</w:t>
            </w:r>
          </w:p>
        </w:tc>
        <w:tc>
          <w:tcPr>
            <w:tcW w:w="1271"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01" w:type="dxa"/>
            <w:gridSpan w:val="4"/>
            <w:vAlign w:val="center"/>
          </w:tcPr>
          <w:p>
            <w:pPr>
              <w:widowControl w:val="0"/>
              <w:numPr>
                <w:ilvl w:val="0"/>
                <w:numId w:val="0"/>
              </w:numPr>
              <w:wordWrap/>
              <w:adjustRightInd/>
              <w:snapToGrid/>
              <w:spacing w:line="300" w:lineRule="exact"/>
              <w:ind w:leftChars="0"/>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合计</w:t>
            </w:r>
          </w:p>
        </w:tc>
        <w:tc>
          <w:tcPr>
            <w:tcW w:w="1271"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1000分</w:t>
            </w:r>
          </w:p>
        </w:tc>
      </w:tr>
    </w:tbl>
    <w:p>
      <w:pPr>
        <w:widowControl w:val="0"/>
        <w:wordWrap/>
        <w:adjustRightInd/>
        <w:snapToGrid/>
        <w:spacing w:line="480" w:lineRule="exact"/>
        <w:textAlignment w:val="auto"/>
        <w:rPr>
          <w:rFonts w:hint="eastAsia" w:ascii="宋体" w:hAnsi="宋体" w:eastAsia="宋体" w:cs="宋体"/>
          <w:spacing w:val="0"/>
          <w:w w:val="100"/>
          <w:sz w:val="24"/>
          <w:szCs w:val="24"/>
          <w:lang w:val="en-US" w:eastAsia="zh-CN"/>
        </w:rPr>
      </w:pPr>
      <w:r>
        <w:rPr>
          <w:rFonts w:hint="eastAsia" w:ascii="宋体" w:hAnsi="宋体" w:eastAsia="宋体" w:cs="宋体"/>
          <w:spacing w:val="0"/>
          <w:w w:val="100"/>
          <w:sz w:val="24"/>
          <w:szCs w:val="24"/>
          <w:lang w:val="en-US" w:eastAsia="zh-CN"/>
        </w:rPr>
        <w:t>注：本文件所述医疗机构是指医院科室、专项医疗团队或社区医院（服务中心、站）。</w:t>
      </w:r>
    </w:p>
    <w:p>
      <w:pPr>
        <w:wordWrap/>
        <w:adjustRightInd/>
        <w:snapToGrid/>
        <w:spacing w:line="320" w:lineRule="exact"/>
        <w:textAlignment w:val="auto"/>
        <w:rPr>
          <w:rFonts w:hint="eastAsia" w:ascii="Times New Roman" w:hAnsi="Times New Roman"/>
          <w:spacing w:val="0"/>
          <w:w w:val="100"/>
          <w:sz w:val="36"/>
          <w:szCs w:val="36"/>
          <w:lang w:val="en-US" w:eastAsia="zh-CN"/>
        </w:rPr>
      </w:pPr>
      <w:r>
        <w:rPr>
          <w:rFonts w:hint="eastAsia" w:ascii="Times New Roman" w:hAnsi="Times New Roman" w:eastAsia="黑体" w:cs="黑体"/>
          <w:b w:val="0"/>
          <w:bCs w:val="0"/>
          <w:spacing w:val="0"/>
          <w:w w:val="100"/>
          <w:sz w:val="32"/>
          <w:szCs w:val="32"/>
        </w:rPr>
        <w:t>附件</w:t>
      </w:r>
      <w:r>
        <w:rPr>
          <w:rFonts w:hint="eastAsia" w:ascii="Times New Roman" w:hAnsi="Times New Roman" w:eastAsia="黑体" w:cs="黑体"/>
          <w:b w:val="0"/>
          <w:bCs w:val="0"/>
          <w:spacing w:val="0"/>
          <w:w w:val="100"/>
          <w:sz w:val="32"/>
          <w:szCs w:val="32"/>
          <w:lang w:val="en-US" w:eastAsia="zh-CN"/>
        </w:rPr>
        <w:t>5</w:t>
      </w:r>
    </w:p>
    <w:p>
      <w:pPr>
        <w:widowControl w:val="0"/>
        <w:wordWrap/>
        <w:adjustRightInd/>
        <w:snapToGrid/>
        <w:spacing w:line="580" w:lineRule="exact"/>
        <w:jc w:val="center"/>
        <w:textAlignment w:val="auto"/>
        <w:rPr>
          <w:rFonts w:hint="default" w:ascii="Times New Roman" w:hAnsi="Times New Roman" w:eastAsia="方正小标宋简体" w:cs="方正小标宋简体"/>
          <w:spacing w:val="0"/>
          <w:w w:val="100"/>
          <w:sz w:val="44"/>
          <w:szCs w:val="44"/>
          <w:lang w:val="en-US" w:eastAsia="zh-CN"/>
        </w:rPr>
      </w:pPr>
      <w:r>
        <w:rPr>
          <w:rFonts w:hint="eastAsia" w:ascii="Times New Roman" w:hAnsi="Times New Roman" w:eastAsia="方正小标宋简体" w:cs="方正小标宋简体"/>
          <w:spacing w:val="0"/>
          <w:w w:val="100"/>
          <w:sz w:val="44"/>
          <w:szCs w:val="44"/>
          <w:lang w:val="en-US" w:eastAsia="zh-CN"/>
        </w:rPr>
        <w:t>广东省政府质量奖评分要点（教育机构）</w:t>
      </w:r>
    </w:p>
    <w:tbl>
      <w:tblPr>
        <w:tblStyle w:val="9"/>
        <w:tblW w:w="151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3"/>
        <w:gridCol w:w="1310"/>
        <w:gridCol w:w="1710"/>
        <w:gridCol w:w="10054"/>
        <w:gridCol w:w="13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3" w:type="dxa"/>
            <w:vMerge w:val="restart"/>
            <w:vAlign w:val="center"/>
          </w:tcPr>
          <w:p>
            <w:pPr>
              <w:widowControl w:val="0"/>
              <w:wordWrap/>
              <w:adjustRightInd/>
              <w:snapToGrid/>
              <w:spacing w:line="300" w:lineRule="exact"/>
              <w:jc w:val="center"/>
              <w:textAlignment w:val="auto"/>
              <w:rPr>
                <w:rFonts w:hint="eastAsia" w:ascii="黑体" w:hAnsi="黑体" w:eastAsia="黑体" w:cs="黑体"/>
                <w:spacing w:val="0"/>
                <w:w w:val="100"/>
                <w:sz w:val="21"/>
                <w:szCs w:val="21"/>
                <w:lang w:val="en-US" w:eastAsia="zh-CN"/>
              </w:rPr>
            </w:pPr>
            <w:r>
              <w:rPr>
                <w:rFonts w:hint="eastAsia" w:ascii="黑体" w:hAnsi="黑体" w:eastAsia="黑体" w:cs="黑体"/>
                <w:spacing w:val="0"/>
                <w:w w:val="100"/>
                <w:sz w:val="21"/>
                <w:szCs w:val="21"/>
                <w:lang w:val="en-US" w:eastAsia="zh-CN"/>
              </w:rPr>
              <w:t>序号</w:t>
            </w:r>
          </w:p>
        </w:tc>
        <w:tc>
          <w:tcPr>
            <w:tcW w:w="3020" w:type="dxa"/>
            <w:gridSpan w:val="2"/>
            <w:vAlign w:val="center"/>
          </w:tcPr>
          <w:p>
            <w:pPr>
              <w:widowControl w:val="0"/>
              <w:wordWrap/>
              <w:adjustRightInd/>
              <w:snapToGrid/>
              <w:spacing w:line="300" w:lineRule="exact"/>
              <w:jc w:val="center"/>
              <w:textAlignment w:val="auto"/>
              <w:rPr>
                <w:rFonts w:hint="eastAsia" w:ascii="黑体" w:hAnsi="黑体" w:eastAsia="黑体" w:cs="黑体"/>
                <w:spacing w:val="0"/>
                <w:w w:val="100"/>
                <w:sz w:val="21"/>
                <w:szCs w:val="21"/>
                <w:lang w:val="en-US" w:eastAsia="zh-CN"/>
              </w:rPr>
            </w:pPr>
            <w:r>
              <w:rPr>
                <w:rFonts w:hint="eastAsia" w:ascii="黑体" w:hAnsi="黑体" w:eastAsia="黑体" w:cs="黑体"/>
                <w:spacing w:val="0"/>
                <w:w w:val="100"/>
                <w:sz w:val="21"/>
                <w:szCs w:val="21"/>
                <w:lang w:val="en-US" w:eastAsia="zh-CN"/>
              </w:rPr>
              <w:t>评价指标</w:t>
            </w:r>
          </w:p>
        </w:tc>
        <w:tc>
          <w:tcPr>
            <w:tcW w:w="10054" w:type="dxa"/>
            <w:vMerge w:val="restart"/>
            <w:vAlign w:val="center"/>
          </w:tcPr>
          <w:p>
            <w:pPr>
              <w:widowControl w:val="0"/>
              <w:wordWrap/>
              <w:adjustRightInd/>
              <w:snapToGrid/>
              <w:spacing w:line="300" w:lineRule="exact"/>
              <w:jc w:val="center"/>
              <w:textAlignment w:val="auto"/>
              <w:rPr>
                <w:rFonts w:hint="eastAsia" w:ascii="黑体" w:hAnsi="黑体" w:eastAsia="黑体" w:cs="黑体"/>
                <w:spacing w:val="0"/>
                <w:w w:val="100"/>
                <w:sz w:val="21"/>
                <w:szCs w:val="21"/>
                <w:lang w:val="en-US" w:eastAsia="zh-CN"/>
              </w:rPr>
            </w:pPr>
            <w:r>
              <w:rPr>
                <w:rFonts w:hint="eastAsia" w:ascii="黑体" w:hAnsi="黑体" w:eastAsia="黑体" w:cs="黑体"/>
                <w:spacing w:val="0"/>
                <w:w w:val="100"/>
                <w:sz w:val="21"/>
                <w:szCs w:val="21"/>
                <w:lang w:val="en-US" w:eastAsia="zh-CN"/>
              </w:rPr>
              <w:t>评价要点</w:t>
            </w:r>
          </w:p>
        </w:tc>
        <w:tc>
          <w:tcPr>
            <w:tcW w:w="1343" w:type="dxa"/>
            <w:vMerge w:val="restart"/>
            <w:vAlign w:val="center"/>
          </w:tcPr>
          <w:p>
            <w:pPr>
              <w:widowControl w:val="0"/>
              <w:wordWrap/>
              <w:adjustRightInd/>
              <w:snapToGrid/>
              <w:spacing w:line="300" w:lineRule="exact"/>
              <w:jc w:val="center"/>
              <w:textAlignment w:val="auto"/>
              <w:rPr>
                <w:rFonts w:hint="eastAsia" w:ascii="黑体" w:hAnsi="黑体" w:eastAsia="黑体" w:cs="黑体"/>
                <w:spacing w:val="0"/>
                <w:w w:val="100"/>
                <w:sz w:val="21"/>
                <w:szCs w:val="21"/>
                <w:lang w:val="en-US" w:eastAsia="zh-CN"/>
              </w:rPr>
            </w:pPr>
            <w:r>
              <w:rPr>
                <w:rFonts w:hint="eastAsia" w:ascii="黑体" w:hAnsi="黑体" w:eastAsia="黑体" w:cs="黑体"/>
                <w:spacing w:val="0"/>
                <w:w w:val="100"/>
                <w:sz w:val="21"/>
                <w:szCs w:val="21"/>
                <w:lang w:val="en-US" w:eastAsia="zh-CN"/>
              </w:rPr>
              <w:t>评分分值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3" w:type="dxa"/>
            <w:vMerge w:val="continue"/>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rPr>
            </w:pPr>
          </w:p>
        </w:tc>
        <w:tc>
          <w:tcPr>
            <w:tcW w:w="1310" w:type="dxa"/>
            <w:vAlign w:val="center"/>
          </w:tcPr>
          <w:p>
            <w:pPr>
              <w:widowControl w:val="0"/>
              <w:wordWrap/>
              <w:adjustRightInd/>
              <w:snapToGrid/>
              <w:spacing w:line="300" w:lineRule="exact"/>
              <w:jc w:val="center"/>
              <w:textAlignment w:val="auto"/>
              <w:rPr>
                <w:rFonts w:hint="eastAsia" w:ascii="黑体" w:hAnsi="黑体" w:eastAsia="黑体" w:cs="黑体"/>
                <w:spacing w:val="0"/>
                <w:w w:val="100"/>
                <w:sz w:val="21"/>
                <w:szCs w:val="21"/>
                <w:lang w:val="en-US" w:eastAsia="zh-CN"/>
              </w:rPr>
            </w:pPr>
            <w:r>
              <w:rPr>
                <w:rFonts w:hint="eastAsia" w:ascii="黑体" w:hAnsi="黑体" w:eastAsia="黑体" w:cs="黑体"/>
                <w:spacing w:val="0"/>
                <w:w w:val="100"/>
                <w:sz w:val="21"/>
                <w:szCs w:val="21"/>
                <w:lang w:val="en-US" w:eastAsia="zh-CN"/>
              </w:rPr>
              <w:t>一级</w:t>
            </w:r>
          </w:p>
        </w:tc>
        <w:tc>
          <w:tcPr>
            <w:tcW w:w="1710" w:type="dxa"/>
            <w:vAlign w:val="center"/>
          </w:tcPr>
          <w:p>
            <w:pPr>
              <w:widowControl w:val="0"/>
              <w:wordWrap/>
              <w:adjustRightInd/>
              <w:snapToGrid/>
              <w:spacing w:line="300" w:lineRule="exact"/>
              <w:jc w:val="center"/>
              <w:textAlignment w:val="auto"/>
              <w:rPr>
                <w:rFonts w:hint="eastAsia" w:ascii="黑体" w:hAnsi="黑体" w:eastAsia="黑体" w:cs="黑体"/>
                <w:spacing w:val="0"/>
                <w:w w:val="100"/>
                <w:sz w:val="21"/>
                <w:szCs w:val="21"/>
                <w:lang w:val="en-US" w:eastAsia="zh-CN"/>
              </w:rPr>
            </w:pPr>
            <w:r>
              <w:rPr>
                <w:rFonts w:hint="eastAsia" w:ascii="黑体" w:hAnsi="黑体" w:eastAsia="黑体" w:cs="黑体"/>
                <w:spacing w:val="0"/>
                <w:w w:val="100"/>
                <w:sz w:val="21"/>
                <w:szCs w:val="21"/>
                <w:lang w:val="en-US" w:eastAsia="zh-CN"/>
              </w:rPr>
              <w:t>二级</w:t>
            </w:r>
          </w:p>
        </w:tc>
        <w:tc>
          <w:tcPr>
            <w:tcW w:w="10054" w:type="dxa"/>
            <w:vMerge w:val="continue"/>
            <w:vAlign w:val="top"/>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p>
        </w:tc>
        <w:tc>
          <w:tcPr>
            <w:tcW w:w="1343" w:type="dxa"/>
            <w:vMerge w:val="continue"/>
            <w:vAlign w:val="top"/>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3" w:type="dxa"/>
            <w:vMerge w:val="restart"/>
            <w:vAlign w:val="center"/>
          </w:tcPr>
          <w:p>
            <w:pPr>
              <w:widowControl w:val="0"/>
              <w:numPr>
                <w:ilvl w:val="0"/>
                <w:numId w:val="0"/>
              </w:numPr>
              <w:wordWrap/>
              <w:adjustRightInd/>
              <w:snapToGrid/>
              <w:spacing w:line="300" w:lineRule="exact"/>
              <w:ind w:left="0" w:leftChars="0" w:firstLine="0" w:firstLineChars="0"/>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1</w:t>
            </w:r>
          </w:p>
        </w:tc>
        <w:tc>
          <w:tcPr>
            <w:tcW w:w="1310" w:type="dxa"/>
            <w:vMerge w:val="restart"/>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领导</w:t>
            </w:r>
          </w:p>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150分</w:t>
            </w:r>
          </w:p>
        </w:tc>
        <w:tc>
          <w:tcPr>
            <w:tcW w:w="1710"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rPr>
            </w:pPr>
            <w:r>
              <w:rPr>
                <w:rFonts w:hint="default" w:ascii="Times New Roman" w:hAnsi="Times New Roman" w:eastAsia="宋体" w:cs="Times New Roman"/>
                <w:spacing w:val="0"/>
                <w:w w:val="100"/>
                <w:sz w:val="21"/>
                <w:szCs w:val="21"/>
                <w:lang w:val="en-US" w:eastAsia="zh-CN"/>
              </w:rPr>
              <w:t>1.1文化理念</w:t>
            </w:r>
          </w:p>
        </w:tc>
        <w:tc>
          <w:tcPr>
            <w:tcW w:w="10054" w:type="dxa"/>
            <w:vAlign w:val="top"/>
          </w:tcPr>
          <w:p>
            <w:pPr>
              <w:widowControl w:val="0"/>
              <w:numPr>
                <w:ilvl w:val="0"/>
                <w:numId w:val="0"/>
              </w:numPr>
              <w:wordWrap/>
              <w:adjustRightInd/>
              <w:snapToGrid/>
              <w:spacing w:line="300" w:lineRule="exact"/>
              <w:ind w:left="0" w:leftChars="0" w:firstLine="0" w:firstLineChars="0"/>
              <w:jc w:val="both"/>
              <w:textAlignment w:val="auto"/>
              <w:rPr>
                <w:rFonts w:hint="default" w:ascii="Times New Roman" w:hAnsi="Times New Roman" w:eastAsia="宋体" w:cs="Times New Roman"/>
                <w:b w:val="0"/>
                <w:bCs w:val="0"/>
                <w:spacing w:val="0"/>
                <w:w w:val="100"/>
                <w:sz w:val="21"/>
                <w:szCs w:val="21"/>
                <w:lang w:val="en-US" w:eastAsia="zh-CN"/>
              </w:rPr>
            </w:pPr>
            <w:r>
              <w:rPr>
                <w:rFonts w:hint="default" w:ascii="Times New Roman" w:hAnsi="Times New Roman" w:eastAsia="宋体" w:cs="Times New Roman"/>
                <w:b w:val="0"/>
                <w:bCs w:val="0"/>
                <w:spacing w:val="0"/>
                <w:w w:val="100"/>
                <w:sz w:val="21"/>
                <w:szCs w:val="21"/>
                <w:lang w:val="en-US" w:eastAsia="zh-CN"/>
              </w:rPr>
              <w:t>a.如何遵守学校校训，强化历史传承。</w:t>
            </w:r>
          </w:p>
          <w:p>
            <w:pPr>
              <w:widowControl w:val="0"/>
              <w:numPr>
                <w:ilvl w:val="0"/>
                <w:numId w:val="0"/>
              </w:numPr>
              <w:wordWrap/>
              <w:adjustRightInd/>
              <w:snapToGrid/>
              <w:spacing w:line="300" w:lineRule="exact"/>
              <w:ind w:left="0" w:leftChars="0" w:firstLine="0" w:firstLineChars="0"/>
              <w:jc w:val="both"/>
              <w:textAlignment w:val="auto"/>
              <w:rPr>
                <w:rFonts w:hint="default" w:ascii="Times New Roman" w:hAnsi="Times New Roman" w:eastAsia="宋体" w:cs="Times New Roman"/>
                <w:b w:val="0"/>
                <w:bCs w:val="0"/>
                <w:spacing w:val="0"/>
                <w:w w:val="100"/>
                <w:sz w:val="21"/>
                <w:szCs w:val="21"/>
                <w:lang w:val="en-US" w:eastAsia="zh-CN"/>
              </w:rPr>
            </w:pPr>
            <w:r>
              <w:rPr>
                <w:rFonts w:hint="default" w:ascii="Times New Roman" w:hAnsi="Times New Roman" w:eastAsia="宋体" w:cs="Times New Roman"/>
                <w:b w:val="0"/>
                <w:bCs w:val="0"/>
                <w:spacing w:val="0"/>
                <w:w w:val="100"/>
                <w:sz w:val="21"/>
                <w:szCs w:val="21"/>
                <w:lang w:val="en-US" w:eastAsia="zh-CN"/>
              </w:rPr>
              <w:t>b.如何加强校风、教风、学风建设，建设体现学校办学理念和特色的校园文化，增进师生相互关爱，增强学校凝聚力，并对文化建设的成效进行评估。</w:t>
            </w:r>
          </w:p>
          <w:p>
            <w:pPr>
              <w:widowControl w:val="0"/>
              <w:numPr>
                <w:ilvl w:val="0"/>
                <w:numId w:val="0"/>
              </w:numPr>
              <w:wordWrap/>
              <w:adjustRightInd/>
              <w:snapToGrid/>
              <w:spacing w:line="300" w:lineRule="exact"/>
              <w:ind w:left="0" w:leftChars="0" w:firstLine="0" w:firstLineChars="0"/>
              <w:jc w:val="both"/>
              <w:textAlignment w:val="auto"/>
              <w:rPr>
                <w:rFonts w:hint="default" w:ascii="Times New Roman" w:hAnsi="Times New Roman" w:eastAsia="宋体" w:cs="Times New Roman"/>
                <w:b w:val="0"/>
                <w:bCs w:val="0"/>
                <w:spacing w:val="0"/>
                <w:w w:val="100"/>
                <w:sz w:val="21"/>
                <w:szCs w:val="21"/>
                <w:lang w:val="en-US" w:eastAsia="zh-CN"/>
              </w:rPr>
            </w:pPr>
            <w:r>
              <w:rPr>
                <w:rFonts w:hint="default" w:ascii="Times New Roman" w:hAnsi="Times New Roman" w:eastAsia="宋体" w:cs="Times New Roman"/>
                <w:b w:val="0"/>
                <w:bCs w:val="0"/>
                <w:spacing w:val="0"/>
                <w:w w:val="100"/>
                <w:sz w:val="21"/>
                <w:szCs w:val="21"/>
                <w:lang w:val="en-US" w:eastAsia="zh-CN"/>
              </w:rPr>
              <w:t>c.如何建立密切的家校协同育人机制，坚持立德树人与全员全过程全方位育人并举。</w:t>
            </w:r>
          </w:p>
        </w:tc>
        <w:tc>
          <w:tcPr>
            <w:tcW w:w="134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3" w:type="dxa"/>
            <w:vMerge w:val="continue"/>
            <w:vAlign w:val="top"/>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rPr>
            </w:pPr>
          </w:p>
        </w:tc>
        <w:tc>
          <w:tcPr>
            <w:tcW w:w="1310" w:type="dxa"/>
            <w:vMerge w:val="continue"/>
            <w:vAlign w:val="top"/>
          </w:tcPr>
          <w:p>
            <w:pPr>
              <w:widowControl w:val="0"/>
              <w:wordWrap/>
              <w:adjustRightInd/>
              <w:snapToGrid/>
              <w:spacing w:line="300" w:lineRule="exact"/>
              <w:textAlignment w:val="auto"/>
              <w:rPr>
                <w:rFonts w:hint="default" w:ascii="Times New Roman" w:hAnsi="Times New Roman" w:eastAsia="宋体" w:cs="Times New Roman"/>
                <w:spacing w:val="0"/>
                <w:w w:val="100"/>
                <w:sz w:val="21"/>
                <w:szCs w:val="21"/>
              </w:rPr>
            </w:pPr>
          </w:p>
        </w:tc>
        <w:tc>
          <w:tcPr>
            <w:tcW w:w="1710"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rPr>
            </w:pPr>
            <w:r>
              <w:rPr>
                <w:rFonts w:hint="default" w:ascii="Times New Roman" w:hAnsi="Times New Roman" w:eastAsia="宋体" w:cs="Times New Roman"/>
                <w:spacing w:val="0"/>
                <w:w w:val="100"/>
                <w:sz w:val="21"/>
                <w:szCs w:val="21"/>
                <w:lang w:val="en-US" w:eastAsia="zh-CN"/>
              </w:rPr>
              <w:t>1.2办学方向</w:t>
            </w:r>
          </w:p>
        </w:tc>
        <w:tc>
          <w:tcPr>
            <w:tcW w:w="10054" w:type="dxa"/>
            <w:vAlign w:val="top"/>
          </w:tcPr>
          <w:p>
            <w:pPr>
              <w:widowControl w:val="0"/>
              <w:numPr>
                <w:ilvl w:val="0"/>
                <w:numId w:val="0"/>
              </w:numPr>
              <w:wordWrap/>
              <w:adjustRightInd/>
              <w:snapToGrid/>
              <w:spacing w:line="300" w:lineRule="exact"/>
              <w:ind w:left="0" w:leftChars="0" w:firstLine="0" w:firstLineChars="0"/>
              <w:jc w:val="both"/>
              <w:textAlignment w:val="auto"/>
              <w:rPr>
                <w:rFonts w:hint="default" w:ascii="Times New Roman" w:hAnsi="Times New Roman" w:eastAsia="宋体" w:cs="Times New Roman"/>
                <w:b w:val="0"/>
                <w:bCs w:val="0"/>
                <w:spacing w:val="0"/>
                <w:w w:val="100"/>
                <w:sz w:val="21"/>
                <w:szCs w:val="21"/>
                <w:lang w:val="en-US" w:eastAsia="zh-CN"/>
              </w:rPr>
            </w:pPr>
            <w:r>
              <w:rPr>
                <w:rFonts w:hint="default" w:ascii="Times New Roman" w:hAnsi="Times New Roman" w:eastAsia="宋体" w:cs="Times New Roman"/>
                <w:b w:val="0"/>
                <w:bCs w:val="0"/>
                <w:spacing w:val="0"/>
                <w:w w:val="100"/>
                <w:sz w:val="21"/>
                <w:szCs w:val="21"/>
                <w:lang w:val="en-US" w:eastAsia="zh-CN"/>
              </w:rPr>
              <w:t>a.学校如何加强爱党、爱国、爱人民、爱集体的社会主义道德情感教育，树立正确的价值取向与精神风貌。</w:t>
            </w:r>
          </w:p>
          <w:p>
            <w:pPr>
              <w:widowControl w:val="0"/>
              <w:numPr>
                <w:ilvl w:val="0"/>
                <w:numId w:val="0"/>
              </w:numPr>
              <w:wordWrap/>
              <w:adjustRightInd/>
              <w:snapToGrid/>
              <w:spacing w:line="300" w:lineRule="exact"/>
              <w:ind w:left="0" w:leftChars="0" w:firstLine="0" w:firstLineChars="0"/>
              <w:jc w:val="both"/>
              <w:textAlignment w:val="auto"/>
              <w:rPr>
                <w:rFonts w:hint="default" w:ascii="Times New Roman" w:hAnsi="Times New Roman" w:eastAsia="宋体" w:cs="Times New Roman"/>
                <w:b w:val="0"/>
                <w:bCs w:val="0"/>
                <w:spacing w:val="0"/>
                <w:w w:val="100"/>
                <w:sz w:val="21"/>
                <w:szCs w:val="21"/>
                <w:lang w:val="en-US" w:eastAsia="zh-CN"/>
              </w:rPr>
            </w:pPr>
            <w:r>
              <w:rPr>
                <w:rFonts w:hint="default" w:ascii="Times New Roman" w:hAnsi="Times New Roman" w:eastAsia="宋体" w:cs="Times New Roman"/>
                <w:b w:val="0"/>
                <w:bCs w:val="0"/>
                <w:spacing w:val="0"/>
                <w:w w:val="100"/>
                <w:sz w:val="21"/>
                <w:szCs w:val="21"/>
                <w:lang w:val="en-US" w:eastAsia="zh-CN"/>
              </w:rPr>
              <w:t>b.如何采取诸如体验式学习、技能大赛、“大国工匠进校园”、“劳模进校园”、“优秀师生校园分享”、“百姓学习之星”等措施塑造学生世界观、人生观和价值观，培养学生的价值认知。</w:t>
            </w:r>
          </w:p>
          <w:p>
            <w:pPr>
              <w:widowControl w:val="0"/>
              <w:numPr>
                <w:ilvl w:val="0"/>
                <w:numId w:val="0"/>
              </w:numPr>
              <w:wordWrap/>
              <w:adjustRightInd/>
              <w:snapToGrid/>
              <w:spacing w:line="300" w:lineRule="exact"/>
              <w:ind w:left="0" w:leftChars="0" w:firstLine="0" w:firstLineChars="0"/>
              <w:jc w:val="both"/>
              <w:textAlignment w:val="auto"/>
              <w:rPr>
                <w:rFonts w:hint="default" w:ascii="Times New Roman" w:hAnsi="Times New Roman" w:eastAsia="宋体" w:cs="Times New Roman"/>
                <w:b w:val="0"/>
                <w:bCs w:val="0"/>
                <w:spacing w:val="0"/>
                <w:w w:val="100"/>
                <w:sz w:val="21"/>
                <w:szCs w:val="21"/>
                <w:lang w:val="en-US" w:eastAsia="zh-CN"/>
              </w:rPr>
            </w:pPr>
            <w:r>
              <w:rPr>
                <w:rFonts w:hint="default" w:ascii="Times New Roman" w:hAnsi="Times New Roman" w:eastAsia="宋体" w:cs="Times New Roman"/>
                <w:b w:val="0"/>
                <w:bCs w:val="0"/>
                <w:spacing w:val="0"/>
                <w:w w:val="100"/>
                <w:sz w:val="21"/>
                <w:szCs w:val="21"/>
                <w:lang w:val="en-US" w:eastAsia="zh-CN"/>
              </w:rPr>
              <w:t>c.如何将培育、培养和践行社会主义核心价值观融入教育教学全过程，深入实施素质教育，教育引导学生德智体美劳全面发展。</w:t>
            </w:r>
          </w:p>
        </w:tc>
        <w:tc>
          <w:tcPr>
            <w:tcW w:w="134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3" w:type="dxa"/>
            <w:vMerge w:val="continue"/>
            <w:vAlign w:val="top"/>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rPr>
            </w:pPr>
          </w:p>
        </w:tc>
        <w:tc>
          <w:tcPr>
            <w:tcW w:w="1310" w:type="dxa"/>
            <w:vMerge w:val="continue"/>
            <w:vAlign w:val="top"/>
          </w:tcPr>
          <w:p>
            <w:pPr>
              <w:widowControl w:val="0"/>
              <w:wordWrap/>
              <w:adjustRightInd/>
              <w:snapToGrid/>
              <w:spacing w:line="300" w:lineRule="exact"/>
              <w:textAlignment w:val="auto"/>
              <w:rPr>
                <w:rFonts w:hint="default" w:ascii="Times New Roman" w:hAnsi="Times New Roman" w:eastAsia="宋体" w:cs="Times New Roman"/>
                <w:spacing w:val="0"/>
                <w:w w:val="100"/>
                <w:sz w:val="21"/>
                <w:szCs w:val="21"/>
              </w:rPr>
            </w:pPr>
          </w:p>
        </w:tc>
        <w:tc>
          <w:tcPr>
            <w:tcW w:w="1710"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rPr>
            </w:pPr>
            <w:r>
              <w:rPr>
                <w:rFonts w:hint="default" w:ascii="Times New Roman" w:hAnsi="Times New Roman" w:eastAsia="宋体" w:cs="Times New Roman"/>
                <w:spacing w:val="0"/>
                <w:w w:val="100"/>
                <w:sz w:val="21"/>
                <w:szCs w:val="21"/>
                <w:lang w:val="en-US" w:eastAsia="zh-CN"/>
              </w:rPr>
              <w:t>1.3学校管理</w:t>
            </w:r>
          </w:p>
        </w:tc>
        <w:tc>
          <w:tcPr>
            <w:tcW w:w="10054" w:type="dxa"/>
            <w:vAlign w:val="top"/>
          </w:tcPr>
          <w:p>
            <w:pPr>
              <w:widowControl w:val="0"/>
              <w:numPr>
                <w:ilvl w:val="0"/>
                <w:numId w:val="0"/>
              </w:numPr>
              <w:wordWrap/>
              <w:adjustRightInd/>
              <w:snapToGrid/>
              <w:spacing w:line="300" w:lineRule="exact"/>
              <w:ind w:left="0" w:leftChars="0" w:firstLine="0" w:firstLineChars="0"/>
              <w:jc w:val="both"/>
              <w:textAlignment w:val="auto"/>
              <w:rPr>
                <w:rFonts w:hint="default" w:ascii="Times New Roman" w:hAnsi="Times New Roman" w:eastAsia="宋体" w:cs="Times New Roman"/>
                <w:b w:val="0"/>
                <w:bCs w:val="0"/>
                <w:spacing w:val="0"/>
                <w:w w:val="100"/>
                <w:sz w:val="21"/>
                <w:szCs w:val="21"/>
                <w:lang w:val="en-US" w:eastAsia="zh-CN"/>
              </w:rPr>
            </w:pPr>
            <w:r>
              <w:rPr>
                <w:rFonts w:hint="default" w:ascii="Times New Roman" w:hAnsi="Times New Roman" w:eastAsia="宋体" w:cs="Times New Roman"/>
                <w:b w:val="0"/>
                <w:bCs w:val="0"/>
                <w:spacing w:val="0"/>
                <w:w w:val="100"/>
                <w:sz w:val="21"/>
                <w:szCs w:val="21"/>
                <w:lang w:val="en-US" w:eastAsia="zh-CN"/>
              </w:rPr>
              <w:t>a.如何建设现代学校制度，健全并落实学校各项管理制度，加强作业、睡眠、手机、读物、体质、考试及课后服务等管理。</w:t>
            </w:r>
          </w:p>
          <w:p>
            <w:pPr>
              <w:widowControl w:val="0"/>
              <w:numPr>
                <w:ilvl w:val="0"/>
                <w:numId w:val="0"/>
              </w:numPr>
              <w:wordWrap/>
              <w:adjustRightInd/>
              <w:snapToGrid/>
              <w:spacing w:line="300" w:lineRule="exact"/>
              <w:ind w:left="0" w:leftChars="0" w:firstLine="0" w:firstLineChars="0"/>
              <w:jc w:val="both"/>
              <w:textAlignment w:val="auto"/>
              <w:rPr>
                <w:rFonts w:hint="default" w:ascii="Times New Roman" w:hAnsi="Times New Roman" w:eastAsia="宋体" w:cs="Times New Roman"/>
                <w:b w:val="0"/>
                <w:bCs w:val="0"/>
                <w:spacing w:val="0"/>
                <w:w w:val="100"/>
                <w:sz w:val="21"/>
                <w:szCs w:val="21"/>
                <w:lang w:val="en-US" w:eastAsia="zh-CN"/>
              </w:rPr>
            </w:pPr>
            <w:r>
              <w:rPr>
                <w:rFonts w:hint="default" w:ascii="Times New Roman" w:hAnsi="Times New Roman" w:eastAsia="宋体" w:cs="Times New Roman"/>
                <w:b w:val="0"/>
                <w:bCs w:val="0"/>
                <w:spacing w:val="0"/>
                <w:w w:val="100"/>
                <w:sz w:val="21"/>
                <w:szCs w:val="21"/>
                <w:lang w:val="en-US" w:eastAsia="zh-CN"/>
              </w:rPr>
              <w:t>b.如何发挥社区或家长委员会等参与学校管理的积极作用，包括定期召开教职工代表大会。</w:t>
            </w:r>
          </w:p>
          <w:p>
            <w:pPr>
              <w:widowControl w:val="0"/>
              <w:numPr>
                <w:ilvl w:val="0"/>
                <w:numId w:val="0"/>
              </w:numPr>
              <w:wordWrap/>
              <w:adjustRightInd/>
              <w:snapToGrid/>
              <w:spacing w:line="300" w:lineRule="exact"/>
              <w:ind w:left="0" w:leftChars="0" w:firstLine="0" w:firstLineChars="0"/>
              <w:jc w:val="both"/>
              <w:textAlignment w:val="auto"/>
              <w:rPr>
                <w:rFonts w:hint="default" w:ascii="Times New Roman" w:hAnsi="Times New Roman" w:eastAsia="宋体" w:cs="Times New Roman"/>
                <w:b w:val="0"/>
                <w:bCs w:val="0"/>
                <w:spacing w:val="0"/>
                <w:w w:val="100"/>
                <w:sz w:val="21"/>
                <w:szCs w:val="21"/>
                <w:lang w:val="en-US" w:eastAsia="zh-CN"/>
              </w:rPr>
            </w:pPr>
            <w:r>
              <w:rPr>
                <w:rFonts w:hint="default" w:ascii="Times New Roman" w:hAnsi="Times New Roman" w:eastAsia="宋体" w:cs="Times New Roman"/>
                <w:b w:val="0"/>
                <w:bCs w:val="0"/>
                <w:spacing w:val="0"/>
                <w:w w:val="100"/>
                <w:sz w:val="21"/>
                <w:szCs w:val="21"/>
                <w:lang w:val="en-US" w:eastAsia="zh-CN"/>
              </w:rPr>
              <w:t>c.如何制定符合学校实际的发展规划，优化校园空间环境，建设健康校园、平安校园、书香校园、温馨校园、文明校园，营造和谐育人环境。</w:t>
            </w:r>
          </w:p>
        </w:tc>
        <w:tc>
          <w:tcPr>
            <w:tcW w:w="134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3" w:type="dxa"/>
            <w:vMerge w:val="continue"/>
            <w:vAlign w:val="top"/>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rPr>
            </w:pPr>
          </w:p>
        </w:tc>
        <w:tc>
          <w:tcPr>
            <w:tcW w:w="1310" w:type="dxa"/>
            <w:vMerge w:val="continue"/>
            <w:vAlign w:val="top"/>
          </w:tcPr>
          <w:p>
            <w:pPr>
              <w:widowControl w:val="0"/>
              <w:wordWrap/>
              <w:adjustRightInd/>
              <w:snapToGrid/>
              <w:spacing w:line="300" w:lineRule="exact"/>
              <w:textAlignment w:val="auto"/>
              <w:rPr>
                <w:rFonts w:hint="default" w:ascii="Times New Roman" w:hAnsi="Times New Roman" w:eastAsia="宋体" w:cs="Times New Roman"/>
                <w:spacing w:val="0"/>
                <w:w w:val="100"/>
                <w:sz w:val="21"/>
                <w:szCs w:val="21"/>
              </w:rPr>
            </w:pPr>
          </w:p>
        </w:tc>
        <w:tc>
          <w:tcPr>
            <w:tcW w:w="1710"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rPr>
            </w:pPr>
            <w:r>
              <w:rPr>
                <w:rFonts w:hint="default" w:ascii="Times New Roman" w:hAnsi="Times New Roman" w:eastAsia="宋体" w:cs="Times New Roman"/>
                <w:spacing w:val="0"/>
                <w:w w:val="100"/>
                <w:sz w:val="21"/>
                <w:szCs w:val="21"/>
                <w:lang w:val="en-US" w:eastAsia="zh-CN"/>
              </w:rPr>
              <w:t>1.4社会责任</w:t>
            </w:r>
          </w:p>
        </w:tc>
        <w:tc>
          <w:tcPr>
            <w:tcW w:w="10054" w:type="dxa"/>
            <w:vAlign w:val="top"/>
          </w:tcPr>
          <w:p>
            <w:pPr>
              <w:widowControl w:val="0"/>
              <w:numPr>
                <w:ilvl w:val="0"/>
                <w:numId w:val="0"/>
              </w:numPr>
              <w:wordWrap/>
              <w:adjustRightInd/>
              <w:snapToGrid/>
              <w:spacing w:line="300" w:lineRule="exact"/>
              <w:ind w:left="0" w:leftChars="0" w:firstLine="0" w:firstLineChars="0"/>
              <w:jc w:val="both"/>
              <w:textAlignment w:val="auto"/>
              <w:rPr>
                <w:rFonts w:hint="default" w:ascii="Times New Roman" w:hAnsi="Times New Roman" w:eastAsia="宋体" w:cs="Times New Roman"/>
                <w:b w:val="0"/>
                <w:bCs w:val="0"/>
                <w:spacing w:val="0"/>
                <w:w w:val="100"/>
                <w:sz w:val="21"/>
                <w:szCs w:val="21"/>
                <w:lang w:val="en-US" w:eastAsia="zh-CN"/>
              </w:rPr>
            </w:pPr>
            <w:r>
              <w:rPr>
                <w:rFonts w:hint="default" w:ascii="Times New Roman" w:hAnsi="Times New Roman" w:eastAsia="宋体" w:cs="Times New Roman"/>
                <w:b w:val="0"/>
                <w:bCs w:val="0"/>
                <w:spacing w:val="0"/>
                <w:w w:val="100"/>
                <w:sz w:val="21"/>
                <w:szCs w:val="21"/>
                <w:lang w:val="en-US" w:eastAsia="zh-CN"/>
              </w:rPr>
              <w:t>a.如何推广先进的教育理念、方法和制度，树立德智体美劳全面发展和德技并修的育人理念。</w:t>
            </w:r>
          </w:p>
          <w:p>
            <w:pPr>
              <w:widowControl w:val="0"/>
              <w:numPr>
                <w:ilvl w:val="0"/>
                <w:numId w:val="0"/>
              </w:numPr>
              <w:wordWrap/>
              <w:adjustRightInd/>
              <w:snapToGrid/>
              <w:spacing w:line="300" w:lineRule="exact"/>
              <w:ind w:left="0" w:leftChars="0" w:firstLine="0" w:firstLineChars="0"/>
              <w:jc w:val="both"/>
              <w:textAlignment w:val="auto"/>
              <w:rPr>
                <w:rFonts w:hint="default" w:ascii="Times New Roman" w:hAnsi="Times New Roman" w:eastAsia="宋体" w:cs="Times New Roman"/>
                <w:b w:val="0"/>
                <w:bCs w:val="0"/>
                <w:spacing w:val="0"/>
                <w:w w:val="100"/>
                <w:kern w:val="2"/>
                <w:sz w:val="21"/>
                <w:szCs w:val="21"/>
                <w:lang w:val="en-US" w:eastAsia="zh-CN" w:bidi="ar-SA"/>
              </w:rPr>
            </w:pPr>
            <w:r>
              <w:rPr>
                <w:rFonts w:hint="default" w:ascii="Times New Roman" w:hAnsi="Times New Roman" w:eastAsia="宋体" w:cs="Times New Roman"/>
                <w:b w:val="0"/>
                <w:bCs w:val="0"/>
                <w:spacing w:val="0"/>
                <w:w w:val="100"/>
                <w:sz w:val="21"/>
                <w:szCs w:val="21"/>
                <w:lang w:val="en-US" w:eastAsia="zh-CN"/>
              </w:rPr>
              <w:t>b.如何引导师生参加社会公益，如常态化开展校园开放日、面向中小学生的职业体验、面向社会的便民服务、职教成果展示等。</w:t>
            </w:r>
          </w:p>
        </w:tc>
        <w:tc>
          <w:tcPr>
            <w:tcW w:w="134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3" w:type="dxa"/>
            <w:vMerge w:val="restart"/>
            <w:vAlign w:val="center"/>
          </w:tcPr>
          <w:p>
            <w:pPr>
              <w:widowControl w:val="0"/>
              <w:numPr>
                <w:ilvl w:val="0"/>
                <w:numId w:val="0"/>
              </w:numPr>
              <w:wordWrap/>
              <w:adjustRightInd/>
              <w:snapToGrid/>
              <w:spacing w:line="300" w:lineRule="exact"/>
              <w:ind w:left="0" w:leftChars="0" w:firstLine="0" w:firstLineChars="0"/>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2</w:t>
            </w:r>
          </w:p>
        </w:tc>
        <w:tc>
          <w:tcPr>
            <w:tcW w:w="1310" w:type="dxa"/>
            <w:vMerge w:val="restart"/>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质量</w:t>
            </w:r>
          </w:p>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rPr>
            </w:pPr>
            <w:r>
              <w:rPr>
                <w:rFonts w:hint="default" w:ascii="Times New Roman" w:hAnsi="Times New Roman" w:eastAsia="宋体" w:cs="Times New Roman"/>
                <w:spacing w:val="0"/>
                <w:w w:val="100"/>
                <w:sz w:val="21"/>
                <w:szCs w:val="21"/>
                <w:lang w:val="en-US" w:eastAsia="zh-CN"/>
              </w:rPr>
              <w:t>300分</w:t>
            </w:r>
          </w:p>
        </w:tc>
        <w:tc>
          <w:tcPr>
            <w:tcW w:w="1710"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2.1管理体系</w:t>
            </w:r>
          </w:p>
        </w:tc>
        <w:tc>
          <w:tcPr>
            <w:tcW w:w="10054" w:type="dxa"/>
            <w:vAlign w:val="top"/>
          </w:tcPr>
          <w:p>
            <w:pPr>
              <w:widowControl w:val="0"/>
              <w:numPr>
                <w:ilvl w:val="0"/>
                <w:numId w:val="0"/>
              </w:numPr>
              <w:wordWrap/>
              <w:adjustRightInd/>
              <w:snapToGrid/>
              <w:spacing w:line="300" w:lineRule="exact"/>
              <w:ind w:left="0" w:leftChars="0" w:firstLine="0" w:firstLineChars="0"/>
              <w:jc w:val="both"/>
              <w:textAlignment w:val="auto"/>
              <w:rPr>
                <w:rFonts w:hint="default" w:ascii="Times New Roman" w:hAnsi="Times New Roman" w:eastAsia="宋体" w:cs="Times New Roman"/>
                <w:b w:val="0"/>
                <w:bCs w:val="0"/>
                <w:spacing w:val="0"/>
                <w:w w:val="100"/>
                <w:sz w:val="21"/>
                <w:szCs w:val="21"/>
                <w:lang w:val="en-US" w:eastAsia="zh-CN"/>
              </w:rPr>
            </w:pPr>
            <w:r>
              <w:rPr>
                <w:rFonts w:hint="default" w:ascii="Times New Roman" w:hAnsi="Times New Roman" w:eastAsia="宋体" w:cs="Times New Roman"/>
                <w:b w:val="0"/>
                <w:bCs w:val="0"/>
                <w:spacing w:val="0"/>
                <w:w w:val="100"/>
                <w:sz w:val="21"/>
                <w:szCs w:val="21"/>
                <w:lang w:val="en-US" w:eastAsia="zh-CN"/>
              </w:rPr>
              <w:t>a.说明学校管理体系的建设和融合情况，如质量、创新或合规性管理等体系的建立、实施、保持和融合情况。</w:t>
            </w:r>
          </w:p>
          <w:p>
            <w:pPr>
              <w:widowControl w:val="0"/>
              <w:numPr>
                <w:ilvl w:val="0"/>
                <w:numId w:val="0"/>
              </w:numPr>
              <w:wordWrap/>
              <w:adjustRightInd/>
              <w:snapToGrid/>
              <w:spacing w:line="300" w:lineRule="exact"/>
              <w:ind w:left="0" w:leftChars="0" w:firstLine="0" w:firstLineChars="0"/>
              <w:jc w:val="both"/>
              <w:textAlignment w:val="auto"/>
              <w:rPr>
                <w:rFonts w:hint="default" w:ascii="Times New Roman" w:hAnsi="Times New Roman" w:eastAsia="宋体" w:cs="Times New Roman"/>
                <w:b w:val="0"/>
                <w:bCs w:val="0"/>
                <w:spacing w:val="0"/>
                <w:w w:val="100"/>
                <w:sz w:val="21"/>
                <w:szCs w:val="21"/>
                <w:lang w:val="en-US" w:eastAsia="zh-CN"/>
              </w:rPr>
            </w:pPr>
            <w:r>
              <w:rPr>
                <w:rFonts w:hint="default" w:ascii="Times New Roman" w:hAnsi="Times New Roman" w:eastAsia="宋体" w:cs="Times New Roman"/>
                <w:b w:val="0"/>
                <w:bCs w:val="0"/>
                <w:spacing w:val="0"/>
                <w:w w:val="100"/>
                <w:sz w:val="21"/>
                <w:szCs w:val="21"/>
                <w:lang w:val="en-US" w:eastAsia="zh-CN"/>
              </w:rPr>
              <w:t>b.如何运用新一代信息技术对教育教学全过程进行有效管理，以提升运营效率。</w:t>
            </w:r>
          </w:p>
          <w:p>
            <w:pPr>
              <w:widowControl w:val="0"/>
              <w:numPr>
                <w:ilvl w:val="0"/>
                <w:numId w:val="0"/>
              </w:numPr>
              <w:wordWrap/>
              <w:adjustRightInd/>
              <w:snapToGrid/>
              <w:spacing w:line="300" w:lineRule="exact"/>
              <w:ind w:left="0" w:leftChars="0" w:firstLine="0" w:firstLineChars="0"/>
              <w:jc w:val="both"/>
              <w:textAlignment w:val="auto"/>
              <w:rPr>
                <w:rFonts w:hint="default" w:ascii="Times New Roman" w:hAnsi="Times New Roman" w:eastAsia="宋体" w:cs="Times New Roman"/>
                <w:b w:val="0"/>
                <w:bCs w:val="0"/>
                <w:spacing w:val="0"/>
                <w:w w:val="100"/>
                <w:kern w:val="2"/>
                <w:sz w:val="21"/>
                <w:szCs w:val="21"/>
                <w:lang w:val="en-US" w:eastAsia="zh-CN" w:bidi="ar-SA"/>
              </w:rPr>
            </w:pPr>
            <w:r>
              <w:rPr>
                <w:rFonts w:hint="default" w:ascii="Times New Roman" w:hAnsi="Times New Roman" w:eastAsia="宋体" w:cs="Times New Roman"/>
                <w:b w:val="0"/>
                <w:bCs w:val="0"/>
                <w:spacing w:val="0"/>
                <w:w w:val="100"/>
                <w:sz w:val="21"/>
                <w:szCs w:val="21"/>
                <w:lang w:val="en-US" w:eastAsia="zh-CN"/>
              </w:rPr>
              <w:t>c.如何对这些管理体系的建设、运行和融合进行监测和评审，并不断提高其有效性和效率。</w:t>
            </w:r>
          </w:p>
        </w:tc>
        <w:tc>
          <w:tcPr>
            <w:tcW w:w="134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3" w:type="dxa"/>
            <w:vMerge w:val="continue"/>
            <w:vAlign w:val="center"/>
          </w:tcPr>
          <w:p>
            <w:pPr>
              <w:widowControl w:val="0"/>
              <w:wordWrap/>
              <w:adjustRightInd/>
              <w:snapToGrid/>
              <w:spacing w:line="30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1310" w:type="dxa"/>
            <w:vMerge w:val="continue"/>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rPr>
            </w:pPr>
          </w:p>
        </w:tc>
        <w:tc>
          <w:tcPr>
            <w:tcW w:w="1710"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2.2教学质量</w:t>
            </w:r>
          </w:p>
        </w:tc>
        <w:tc>
          <w:tcPr>
            <w:tcW w:w="10054" w:type="dxa"/>
            <w:vAlign w:val="top"/>
          </w:tcPr>
          <w:p>
            <w:pPr>
              <w:widowControl w:val="0"/>
              <w:numPr>
                <w:ilvl w:val="0"/>
                <w:numId w:val="0"/>
              </w:numPr>
              <w:wordWrap/>
              <w:adjustRightInd/>
              <w:snapToGrid/>
              <w:spacing w:line="300" w:lineRule="exact"/>
              <w:ind w:left="0" w:leftChars="0" w:firstLine="0" w:firstLineChars="0"/>
              <w:jc w:val="both"/>
              <w:textAlignment w:val="auto"/>
              <w:rPr>
                <w:rFonts w:hint="default" w:ascii="Times New Roman" w:hAnsi="Times New Roman" w:eastAsia="宋体" w:cs="Times New Roman"/>
                <w:b w:val="0"/>
                <w:bCs w:val="0"/>
                <w:spacing w:val="0"/>
                <w:w w:val="100"/>
                <w:sz w:val="21"/>
                <w:szCs w:val="21"/>
                <w:lang w:val="en-US" w:eastAsia="zh-CN"/>
              </w:rPr>
            </w:pPr>
            <w:r>
              <w:rPr>
                <w:rFonts w:hint="default" w:ascii="Times New Roman" w:hAnsi="Times New Roman" w:eastAsia="宋体" w:cs="Times New Roman"/>
                <w:b w:val="0"/>
                <w:bCs w:val="0"/>
                <w:spacing w:val="0"/>
                <w:w w:val="100"/>
                <w:sz w:val="21"/>
                <w:szCs w:val="21"/>
                <w:lang w:val="en-US" w:eastAsia="zh-CN"/>
              </w:rPr>
              <w:t>a.如何进行课程设计和开发，建立健全德育课、文化课、美育课等公共课程、专业课程与区域产业、市场需求或国家战略相匹配的课程体系。</w:t>
            </w:r>
          </w:p>
          <w:p>
            <w:pPr>
              <w:widowControl w:val="0"/>
              <w:numPr>
                <w:ilvl w:val="0"/>
                <w:numId w:val="0"/>
              </w:numPr>
              <w:wordWrap/>
              <w:adjustRightInd/>
              <w:snapToGrid/>
              <w:spacing w:line="300" w:lineRule="exact"/>
              <w:ind w:left="0" w:leftChars="0" w:firstLine="0" w:firstLineChars="0"/>
              <w:jc w:val="both"/>
              <w:textAlignment w:val="auto"/>
              <w:rPr>
                <w:rFonts w:hint="default" w:ascii="Times New Roman" w:hAnsi="Times New Roman" w:eastAsia="宋体" w:cs="Times New Roman"/>
                <w:b w:val="0"/>
                <w:bCs w:val="0"/>
                <w:spacing w:val="0"/>
                <w:w w:val="100"/>
                <w:sz w:val="21"/>
                <w:szCs w:val="21"/>
                <w:lang w:val="en-US" w:eastAsia="zh-CN"/>
              </w:rPr>
            </w:pPr>
            <w:r>
              <w:rPr>
                <w:rFonts w:hint="default" w:ascii="Times New Roman" w:hAnsi="Times New Roman" w:eastAsia="宋体" w:cs="Times New Roman"/>
                <w:b w:val="0"/>
                <w:bCs w:val="0"/>
                <w:spacing w:val="0"/>
                <w:w w:val="100"/>
                <w:sz w:val="21"/>
                <w:szCs w:val="21"/>
                <w:lang w:val="en-US" w:eastAsia="zh-CN"/>
              </w:rPr>
              <w:t>b.如何从教学各个环节(如课堂讲授、习题课、实验课、课堂讨论、辅导答疑、教书育人等)全面确保教学质量。</w:t>
            </w:r>
          </w:p>
          <w:p>
            <w:pPr>
              <w:widowControl w:val="0"/>
              <w:numPr>
                <w:ilvl w:val="0"/>
                <w:numId w:val="0"/>
              </w:numPr>
              <w:wordWrap/>
              <w:adjustRightInd/>
              <w:snapToGrid/>
              <w:spacing w:line="300" w:lineRule="exact"/>
              <w:ind w:left="0" w:leftChars="0" w:firstLine="0" w:firstLineChars="0"/>
              <w:jc w:val="both"/>
              <w:textAlignment w:val="auto"/>
              <w:rPr>
                <w:rFonts w:hint="default" w:ascii="Times New Roman" w:hAnsi="Times New Roman" w:eastAsia="宋体" w:cs="Times New Roman"/>
                <w:b w:val="0"/>
                <w:bCs w:val="0"/>
                <w:spacing w:val="0"/>
                <w:w w:val="100"/>
                <w:kern w:val="2"/>
                <w:sz w:val="21"/>
                <w:szCs w:val="21"/>
                <w:lang w:val="en-US" w:eastAsia="zh-CN" w:bidi="ar-SA"/>
              </w:rPr>
            </w:pPr>
            <w:r>
              <w:rPr>
                <w:rFonts w:hint="default" w:ascii="Times New Roman" w:hAnsi="Times New Roman" w:eastAsia="宋体" w:cs="Times New Roman"/>
                <w:b w:val="0"/>
                <w:bCs w:val="0"/>
                <w:spacing w:val="0"/>
                <w:w w:val="100"/>
                <w:sz w:val="21"/>
                <w:szCs w:val="21"/>
                <w:lang w:val="en-US" w:eastAsia="zh-CN"/>
              </w:rPr>
              <w:t>c.如何在科学严谨的基础上，加强实践能力培养，形成深入浅出、图文并茂、形式多样的活页式、工作手册式、融媒体式教材，提升学生的阅读爱好、动手实践能力等素养。</w:t>
            </w:r>
          </w:p>
        </w:tc>
        <w:tc>
          <w:tcPr>
            <w:tcW w:w="134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3" w:type="dxa"/>
            <w:vMerge w:val="continue"/>
            <w:vAlign w:val="center"/>
          </w:tcPr>
          <w:p>
            <w:pPr>
              <w:widowControl w:val="0"/>
              <w:wordWrap/>
              <w:adjustRightInd/>
              <w:snapToGrid/>
              <w:spacing w:line="30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1310" w:type="dxa"/>
            <w:vMerge w:val="continue"/>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rPr>
            </w:pPr>
          </w:p>
        </w:tc>
        <w:tc>
          <w:tcPr>
            <w:tcW w:w="1710"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2.3质量安全</w:t>
            </w:r>
          </w:p>
        </w:tc>
        <w:tc>
          <w:tcPr>
            <w:tcW w:w="10054" w:type="dxa"/>
            <w:vAlign w:val="top"/>
          </w:tcPr>
          <w:p>
            <w:pPr>
              <w:widowControl w:val="0"/>
              <w:numPr>
                <w:ilvl w:val="0"/>
                <w:numId w:val="0"/>
              </w:numPr>
              <w:wordWrap/>
              <w:adjustRightInd/>
              <w:snapToGrid/>
              <w:spacing w:line="300" w:lineRule="exact"/>
              <w:ind w:left="0" w:leftChars="0" w:firstLine="0" w:firstLineChars="0"/>
              <w:jc w:val="both"/>
              <w:textAlignment w:val="auto"/>
              <w:rPr>
                <w:rFonts w:hint="default" w:ascii="Times New Roman" w:hAnsi="Times New Roman" w:eastAsia="宋体" w:cs="Times New Roman"/>
                <w:b w:val="0"/>
                <w:bCs w:val="0"/>
                <w:spacing w:val="0"/>
                <w:w w:val="100"/>
                <w:sz w:val="21"/>
                <w:szCs w:val="21"/>
                <w:lang w:val="en-US" w:eastAsia="zh-CN"/>
              </w:rPr>
            </w:pPr>
            <w:r>
              <w:rPr>
                <w:rFonts w:hint="default" w:ascii="Times New Roman" w:hAnsi="Times New Roman" w:eastAsia="宋体" w:cs="Times New Roman"/>
                <w:b w:val="0"/>
                <w:bCs w:val="0"/>
                <w:spacing w:val="0"/>
                <w:w w:val="100"/>
                <w:sz w:val="21"/>
                <w:szCs w:val="21"/>
                <w:lang w:val="en-US" w:eastAsia="zh-CN"/>
              </w:rPr>
              <w:t>a.如何营造质量安全氛围，增强师生质量安全意识。</w:t>
            </w:r>
          </w:p>
          <w:p>
            <w:pPr>
              <w:widowControl w:val="0"/>
              <w:numPr>
                <w:ilvl w:val="0"/>
                <w:numId w:val="0"/>
              </w:numPr>
              <w:wordWrap/>
              <w:adjustRightInd/>
              <w:snapToGrid/>
              <w:spacing w:line="300" w:lineRule="exact"/>
              <w:ind w:left="0" w:leftChars="0" w:firstLine="0" w:firstLineChars="0"/>
              <w:jc w:val="both"/>
              <w:textAlignment w:val="auto"/>
              <w:rPr>
                <w:rFonts w:hint="default" w:ascii="Times New Roman" w:hAnsi="Times New Roman" w:eastAsia="宋体" w:cs="Times New Roman"/>
                <w:b w:val="0"/>
                <w:bCs w:val="0"/>
                <w:spacing w:val="0"/>
                <w:w w:val="100"/>
                <w:sz w:val="21"/>
                <w:szCs w:val="21"/>
                <w:lang w:val="en-US" w:eastAsia="zh-CN"/>
              </w:rPr>
            </w:pPr>
            <w:r>
              <w:rPr>
                <w:rFonts w:hint="default" w:ascii="Times New Roman" w:hAnsi="Times New Roman" w:eastAsia="宋体" w:cs="Times New Roman"/>
                <w:b w:val="0"/>
                <w:bCs w:val="0"/>
                <w:spacing w:val="0"/>
                <w:w w:val="100"/>
                <w:sz w:val="21"/>
                <w:szCs w:val="21"/>
                <w:lang w:val="en-US" w:eastAsia="zh-CN"/>
              </w:rPr>
              <w:t>b.如何履行质量安全责任，落实质量安全制度，加强质量安全教育培训。</w:t>
            </w:r>
          </w:p>
          <w:p>
            <w:pPr>
              <w:widowControl w:val="0"/>
              <w:numPr>
                <w:ilvl w:val="0"/>
                <w:numId w:val="0"/>
              </w:numPr>
              <w:wordWrap/>
              <w:adjustRightInd/>
              <w:snapToGrid/>
              <w:spacing w:line="300" w:lineRule="exact"/>
              <w:ind w:left="0" w:leftChars="0" w:firstLine="0" w:firstLineChars="0"/>
              <w:jc w:val="both"/>
              <w:textAlignment w:val="auto"/>
              <w:rPr>
                <w:rFonts w:hint="default" w:ascii="Times New Roman" w:hAnsi="Times New Roman" w:eastAsia="宋体" w:cs="Times New Roman"/>
                <w:b w:val="0"/>
                <w:bCs w:val="0"/>
                <w:spacing w:val="0"/>
                <w:w w:val="100"/>
                <w:kern w:val="2"/>
                <w:sz w:val="21"/>
                <w:szCs w:val="21"/>
                <w:lang w:val="en-US" w:eastAsia="zh-CN" w:bidi="ar-SA"/>
              </w:rPr>
            </w:pPr>
            <w:r>
              <w:rPr>
                <w:rFonts w:hint="default" w:ascii="Times New Roman" w:hAnsi="Times New Roman" w:eastAsia="宋体" w:cs="Times New Roman"/>
                <w:b w:val="0"/>
                <w:bCs w:val="0"/>
                <w:spacing w:val="0"/>
                <w:w w:val="100"/>
                <w:sz w:val="21"/>
                <w:szCs w:val="21"/>
                <w:lang w:val="en-US" w:eastAsia="zh-CN"/>
              </w:rPr>
              <w:t>c.如何建立心理疏导机制，加强学生心理疏导，培养学生健康心理和健康新观念。</w:t>
            </w:r>
          </w:p>
        </w:tc>
        <w:tc>
          <w:tcPr>
            <w:tcW w:w="134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3" w:type="dxa"/>
            <w:vMerge w:val="continue"/>
            <w:vAlign w:val="center"/>
          </w:tcPr>
          <w:p>
            <w:pPr>
              <w:widowControl w:val="0"/>
              <w:wordWrap/>
              <w:adjustRightInd/>
              <w:snapToGrid/>
              <w:spacing w:line="30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1310" w:type="dxa"/>
            <w:vMerge w:val="continue"/>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rPr>
            </w:pPr>
          </w:p>
        </w:tc>
        <w:tc>
          <w:tcPr>
            <w:tcW w:w="1710"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2.4师资素养</w:t>
            </w:r>
          </w:p>
        </w:tc>
        <w:tc>
          <w:tcPr>
            <w:tcW w:w="10054" w:type="dxa"/>
            <w:vAlign w:val="top"/>
          </w:tcPr>
          <w:p>
            <w:pPr>
              <w:widowControl w:val="0"/>
              <w:numPr>
                <w:ilvl w:val="0"/>
                <w:numId w:val="0"/>
              </w:numPr>
              <w:wordWrap/>
              <w:adjustRightInd/>
              <w:snapToGrid/>
              <w:spacing w:line="300" w:lineRule="exact"/>
              <w:ind w:left="0" w:leftChars="0" w:firstLine="0" w:firstLineChars="0"/>
              <w:jc w:val="both"/>
              <w:textAlignment w:val="auto"/>
              <w:rPr>
                <w:rFonts w:hint="default" w:ascii="Times New Roman" w:hAnsi="Times New Roman" w:eastAsia="宋体" w:cs="Times New Roman"/>
                <w:b w:val="0"/>
                <w:bCs w:val="0"/>
                <w:spacing w:val="0"/>
                <w:w w:val="100"/>
                <w:sz w:val="21"/>
                <w:szCs w:val="21"/>
                <w:lang w:val="en-US" w:eastAsia="zh-CN"/>
              </w:rPr>
            </w:pPr>
            <w:r>
              <w:rPr>
                <w:rFonts w:hint="default" w:ascii="Times New Roman" w:hAnsi="Times New Roman" w:eastAsia="宋体" w:cs="Times New Roman"/>
                <w:b w:val="0"/>
                <w:bCs w:val="0"/>
                <w:spacing w:val="0"/>
                <w:w w:val="100"/>
                <w:sz w:val="21"/>
                <w:szCs w:val="21"/>
                <w:lang w:val="en-US" w:eastAsia="zh-CN"/>
              </w:rPr>
              <w:t>a.如何加强师资队伍建设，包括从组织中聘请劳动模范、技术能手、大国工匠、道德楷模担任校外辅导员或兼职导师，提升学校教学能力和水平。</w:t>
            </w:r>
          </w:p>
          <w:p>
            <w:pPr>
              <w:widowControl w:val="0"/>
              <w:numPr>
                <w:ilvl w:val="0"/>
                <w:numId w:val="0"/>
              </w:numPr>
              <w:wordWrap/>
              <w:adjustRightInd/>
              <w:snapToGrid/>
              <w:spacing w:line="300" w:lineRule="exact"/>
              <w:ind w:left="0" w:leftChars="0" w:firstLine="0" w:firstLineChars="0"/>
              <w:jc w:val="both"/>
              <w:textAlignment w:val="auto"/>
              <w:rPr>
                <w:rFonts w:hint="default" w:ascii="Times New Roman" w:hAnsi="Times New Roman" w:eastAsia="宋体" w:cs="Times New Roman"/>
                <w:b w:val="0"/>
                <w:bCs w:val="0"/>
                <w:spacing w:val="0"/>
                <w:w w:val="100"/>
                <w:sz w:val="21"/>
                <w:szCs w:val="21"/>
                <w:lang w:val="en-US" w:eastAsia="zh-CN"/>
              </w:rPr>
            </w:pPr>
            <w:r>
              <w:rPr>
                <w:rFonts w:hint="default" w:ascii="Times New Roman" w:hAnsi="Times New Roman" w:eastAsia="宋体" w:cs="Times New Roman"/>
                <w:b w:val="0"/>
                <w:bCs w:val="0"/>
                <w:spacing w:val="0"/>
                <w:w w:val="100"/>
                <w:sz w:val="21"/>
                <w:szCs w:val="21"/>
                <w:lang w:val="en-US" w:eastAsia="zh-CN"/>
              </w:rPr>
              <w:t>b.如何健全师德师风建设长效机制，加强教师培养培训，提升课程开发能力，改善教学方法，以提高学校核心竞争力。</w:t>
            </w:r>
          </w:p>
          <w:p>
            <w:pPr>
              <w:widowControl w:val="0"/>
              <w:numPr>
                <w:ilvl w:val="0"/>
                <w:numId w:val="0"/>
              </w:numPr>
              <w:wordWrap/>
              <w:adjustRightInd/>
              <w:snapToGrid/>
              <w:spacing w:line="300" w:lineRule="exact"/>
              <w:ind w:left="0" w:leftChars="0" w:firstLine="0" w:firstLineChars="0"/>
              <w:jc w:val="both"/>
              <w:textAlignment w:val="auto"/>
              <w:rPr>
                <w:rFonts w:hint="default" w:ascii="Times New Roman" w:hAnsi="Times New Roman" w:eastAsia="宋体" w:cs="Times New Roman"/>
                <w:b w:val="0"/>
                <w:bCs w:val="0"/>
                <w:spacing w:val="0"/>
                <w:w w:val="100"/>
                <w:kern w:val="2"/>
                <w:sz w:val="21"/>
                <w:szCs w:val="21"/>
                <w:lang w:val="en-US" w:eastAsia="zh-CN" w:bidi="ar-SA"/>
              </w:rPr>
            </w:pPr>
            <w:r>
              <w:rPr>
                <w:rFonts w:hint="default" w:ascii="Times New Roman" w:hAnsi="Times New Roman" w:eastAsia="宋体" w:cs="Times New Roman"/>
                <w:b w:val="0"/>
                <w:bCs w:val="0"/>
                <w:spacing w:val="0"/>
                <w:w w:val="100"/>
                <w:sz w:val="21"/>
                <w:szCs w:val="21"/>
                <w:lang w:val="en-US" w:eastAsia="zh-CN"/>
              </w:rPr>
              <w:t>c.如何建立健全校企共建共享生产性实训基地，提升学生的动手实践能力。</w:t>
            </w:r>
          </w:p>
        </w:tc>
        <w:tc>
          <w:tcPr>
            <w:tcW w:w="134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3" w:type="dxa"/>
            <w:vMerge w:val="continue"/>
            <w:vAlign w:val="center"/>
          </w:tcPr>
          <w:p>
            <w:pPr>
              <w:widowControl w:val="0"/>
              <w:wordWrap/>
              <w:adjustRightInd/>
              <w:snapToGrid/>
              <w:spacing w:line="30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1310" w:type="dxa"/>
            <w:vMerge w:val="continue"/>
            <w:vAlign w:val="top"/>
          </w:tcPr>
          <w:p>
            <w:pPr>
              <w:widowControl w:val="0"/>
              <w:wordWrap/>
              <w:adjustRightInd/>
              <w:snapToGrid/>
              <w:spacing w:line="300" w:lineRule="exact"/>
              <w:textAlignment w:val="auto"/>
              <w:rPr>
                <w:rFonts w:hint="default" w:ascii="Times New Roman" w:hAnsi="Times New Roman" w:eastAsia="宋体" w:cs="Times New Roman"/>
                <w:spacing w:val="0"/>
                <w:w w:val="100"/>
                <w:sz w:val="21"/>
                <w:szCs w:val="21"/>
              </w:rPr>
            </w:pPr>
          </w:p>
        </w:tc>
        <w:tc>
          <w:tcPr>
            <w:tcW w:w="1710"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2.5质量改进</w:t>
            </w:r>
          </w:p>
        </w:tc>
        <w:tc>
          <w:tcPr>
            <w:tcW w:w="10054" w:type="dxa"/>
            <w:vAlign w:val="top"/>
          </w:tcPr>
          <w:p>
            <w:pPr>
              <w:widowControl w:val="0"/>
              <w:numPr>
                <w:ilvl w:val="0"/>
                <w:numId w:val="0"/>
              </w:numPr>
              <w:wordWrap/>
              <w:adjustRightInd/>
              <w:snapToGrid/>
              <w:spacing w:line="320" w:lineRule="exact"/>
              <w:ind w:left="0" w:leftChars="0" w:firstLine="0" w:firstLineChars="0"/>
              <w:jc w:val="both"/>
              <w:textAlignment w:val="auto"/>
              <w:rPr>
                <w:rFonts w:hint="default" w:ascii="Times New Roman" w:hAnsi="Times New Roman" w:eastAsia="宋体" w:cs="Times New Roman"/>
                <w:b w:val="0"/>
                <w:bCs w:val="0"/>
                <w:spacing w:val="0"/>
                <w:w w:val="100"/>
                <w:sz w:val="21"/>
                <w:szCs w:val="21"/>
                <w:lang w:val="en-US" w:eastAsia="zh-CN"/>
              </w:rPr>
            </w:pPr>
            <w:r>
              <w:rPr>
                <w:rFonts w:hint="default" w:ascii="Times New Roman" w:hAnsi="Times New Roman" w:eastAsia="宋体" w:cs="Times New Roman"/>
                <w:b w:val="0"/>
                <w:bCs w:val="0"/>
                <w:spacing w:val="0"/>
                <w:w w:val="100"/>
                <w:sz w:val="21"/>
                <w:szCs w:val="21"/>
                <w:lang w:val="en-US" w:eastAsia="zh-CN"/>
              </w:rPr>
              <w:t>a.如何建立并实施以学生为中心的专业与课程质量持续改进机制。</w:t>
            </w:r>
          </w:p>
          <w:p>
            <w:pPr>
              <w:widowControl w:val="0"/>
              <w:numPr>
                <w:ilvl w:val="0"/>
                <w:numId w:val="0"/>
              </w:numPr>
              <w:wordWrap/>
              <w:adjustRightInd/>
              <w:snapToGrid/>
              <w:spacing w:line="320" w:lineRule="exact"/>
              <w:ind w:left="0" w:leftChars="0" w:firstLine="0" w:firstLineChars="0"/>
              <w:jc w:val="both"/>
              <w:textAlignment w:val="auto"/>
              <w:rPr>
                <w:rFonts w:hint="default" w:ascii="Times New Roman" w:hAnsi="Times New Roman" w:eastAsia="宋体" w:cs="Times New Roman"/>
                <w:b w:val="0"/>
                <w:bCs w:val="0"/>
                <w:spacing w:val="0"/>
                <w:w w:val="100"/>
                <w:kern w:val="2"/>
                <w:sz w:val="21"/>
                <w:szCs w:val="21"/>
                <w:lang w:val="en-US" w:eastAsia="zh-CN" w:bidi="ar-SA"/>
              </w:rPr>
            </w:pPr>
            <w:r>
              <w:rPr>
                <w:rFonts w:hint="default" w:ascii="Times New Roman" w:hAnsi="Times New Roman" w:eastAsia="宋体" w:cs="Times New Roman"/>
                <w:b w:val="0"/>
                <w:bCs w:val="0"/>
                <w:spacing w:val="0"/>
                <w:w w:val="100"/>
                <w:sz w:val="21"/>
                <w:szCs w:val="21"/>
                <w:lang w:val="en-US" w:eastAsia="zh-CN"/>
              </w:rPr>
              <w:t>b.如何开展质量改进活动，包括诸如质量提升小组或跨部门质量提升或质量改进团队的建设以及质量改进工具与提升方法的应用等。</w:t>
            </w:r>
          </w:p>
        </w:tc>
        <w:tc>
          <w:tcPr>
            <w:tcW w:w="134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3" w:type="dxa"/>
            <w:vMerge w:val="restart"/>
            <w:vAlign w:val="center"/>
          </w:tcPr>
          <w:p>
            <w:pPr>
              <w:widowControl w:val="0"/>
              <w:numPr>
                <w:ilvl w:val="0"/>
                <w:numId w:val="0"/>
              </w:numPr>
              <w:wordWrap/>
              <w:adjustRightInd/>
              <w:snapToGrid/>
              <w:spacing w:line="300" w:lineRule="exact"/>
              <w:ind w:left="0" w:leftChars="0" w:firstLine="0" w:firstLineChars="0"/>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w:t>
            </w:r>
          </w:p>
        </w:tc>
        <w:tc>
          <w:tcPr>
            <w:tcW w:w="1310" w:type="dxa"/>
            <w:vMerge w:val="restart"/>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创新</w:t>
            </w:r>
          </w:p>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200分</w:t>
            </w:r>
          </w:p>
        </w:tc>
        <w:tc>
          <w:tcPr>
            <w:tcW w:w="1710"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3.1创新平台</w:t>
            </w:r>
          </w:p>
        </w:tc>
        <w:tc>
          <w:tcPr>
            <w:tcW w:w="10054" w:type="dxa"/>
            <w:vAlign w:val="top"/>
          </w:tcPr>
          <w:p>
            <w:pPr>
              <w:widowControl w:val="0"/>
              <w:numPr>
                <w:ilvl w:val="0"/>
                <w:numId w:val="0"/>
              </w:numPr>
              <w:wordWrap/>
              <w:adjustRightInd/>
              <w:snapToGrid/>
              <w:spacing w:line="320" w:lineRule="exact"/>
              <w:ind w:left="0" w:leftChars="0" w:firstLine="0" w:firstLineChars="0"/>
              <w:jc w:val="both"/>
              <w:textAlignment w:val="auto"/>
              <w:rPr>
                <w:rFonts w:hint="default" w:ascii="Times New Roman" w:hAnsi="Times New Roman" w:eastAsia="宋体" w:cs="Times New Roman"/>
                <w:b w:val="0"/>
                <w:bCs w:val="0"/>
                <w:spacing w:val="0"/>
                <w:w w:val="100"/>
                <w:sz w:val="21"/>
                <w:szCs w:val="21"/>
                <w:lang w:val="en-US" w:eastAsia="zh-CN"/>
              </w:rPr>
            </w:pPr>
            <w:r>
              <w:rPr>
                <w:rFonts w:hint="default" w:ascii="Times New Roman" w:hAnsi="Times New Roman" w:eastAsia="宋体" w:cs="Times New Roman"/>
                <w:b w:val="0"/>
                <w:bCs w:val="0"/>
                <w:spacing w:val="0"/>
                <w:w w:val="100"/>
                <w:sz w:val="21"/>
                <w:szCs w:val="21"/>
                <w:lang w:val="en-US" w:eastAsia="zh-CN"/>
              </w:rPr>
              <w:t>a.如何将创新理念融入到教育教学之中，并建立、实施和保持创新管理体系，以提高学校竞争优势。</w:t>
            </w:r>
          </w:p>
          <w:p>
            <w:pPr>
              <w:widowControl w:val="0"/>
              <w:numPr>
                <w:ilvl w:val="0"/>
                <w:numId w:val="0"/>
              </w:numPr>
              <w:wordWrap/>
              <w:adjustRightInd/>
              <w:snapToGrid/>
              <w:spacing w:line="320" w:lineRule="exact"/>
              <w:ind w:left="0" w:leftChars="0" w:firstLine="0" w:firstLineChars="0"/>
              <w:jc w:val="both"/>
              <w:textAlignment w:val="auto"/>
              <w:rPr>
                <w:rFonts w:hint="default" w:ascii="Times New Roman" w:hAnsi="Times New Roman" w:eastAsia="宋体" w:cs="Times New Roman"/>
                <w:b w:val="0"/>
                <w:bCs w:val="0"/>
                <w:spacing w:val="0"/>
                <w:w w:val="100"/>
                <w:sz w:val="21"/>
                <w:szCs w:val="21"/>
                <w:lang w:val="en-US" w:eastAsia="zh-CN"/>
              </w:rPr>
            </w:pPr>
            <w:r>
              <w:rPr>
                <w:rFonts w:hint="default" w:ascii="Times New Roman" w:hAnsi="Times New Roman" w:eastAsia="宋体" w:cs="Times New Roman"/>
                <w:b w:val="0"/>
                <w:bCs w:val="0"/>
                <w:spacing w:val="0"/>
                <w:w w:val="100"/>
                <w:sz w:val="21"/>
                <w:szCs w:val="21"/>
                <w:lang w:val="en-US" w:eastAsia="zh-CN"/>
              </w:rPr>
              <w:t>b.如何建设教育教学创新平台和打造教研创新团队（包括参与重大教研项目的能力），并保持创新平台的有效运行以提升学校的核心竞争力。</w:t>
            </w:r>
          </w:p>
          <w:p>
            <w:pPr>
              <w:widowControl w:val="0"/>
              <w:numPr>
                <w:ilvl w:val="0"/>
                <w:numId w:val="0"/>
              </w:numPr>
              <w:wordWrap/>
              <w:adjustRightInd/>
              <w:snapToGrid/>
              <w:spacing w:line="320" w:lineRule="exact"/>
              <w:ind w:left="0" w:leftChars="0" w:firstLine="0" w:firstLineChars="0"/>
              <w:jc w:val="both"/>
              <w:textAlignment w:val="auto"/>
              <w:rPr>
                <w:rFonts w:hint="default" w:ascii="Times New Roman" w:hAnsi="Times New Roman" w:eastAsia="宋体" w:cs="Times New Roman"/>
                <w:b w:val="0"/>
                <w:bCs w:val="0"/>
                <w:spacing w:val="0"/>
                <w:w w:val="100"/>
                <w:sz w:val="21"/>
                <w:szCs w:val="21"/>
                <w:lang w:val="en-US" w:eastAsia="zh-CN"/>
              </w:rPr>
            </w:pPr>
            <w:r>
              <w:rPr>
                <w:rFonts w:hint="default" w:ascii="Times New Roman" w:hAnsi="Times New Roman" w:eastAsia="宋体" w:cs="Times New Roman"/>
                <w:b w:val="0"/>
                <w:bCs w:val="0"/>
                <w:spacing w:val="0"/>
                <w:w w:val="100"/>
                <w:sz w:val="21"/>
                <w:szCs w:val="21"/>
                <w:lang w:val="en-US" w:eastAsia="zh-CN"/>
              </w:rPr>
              <w:t>c.如何建设教育教学示范基地。</w:t>
            </w:r>
          </w:p>
        </w:tc>
        <w:tc>
          <w:tcPr>
            <w:tcW w:w="134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80分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3" w:type="dxa"/>
            <w:vMerge w:val="continue"/>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rPr>
            </w:pPr>
          </w:p>
        </w:tc>
        <w:tc>
          <w:tcPr>
            <w:tcW w:w="1310" w:type="dxa"/>
            <w:vMerge w:val="continue"/>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rPr>
            </w:pPr>
          </w:p>
        </w:tc>
        <w:tc>
          <w:tcPr>
            <w:tcW w:w="1710"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3.2管理创新</w:t>
            </w:r>
          </w:p>
        </w:tc>
        <w:tc>
          <w:tcPr>
            <w:tcW w:w="10054" w:type="dxa"/>
            <w:vAlign w:val="top"/>
          </w:tcPr>
          <w:p>
            <w:pPr>
              <w:widowControl w:val="0"/>
              <w:numPr>
                <w:ilvl w:val="0"/>
                <w:numId w:val="0"/>
              </w:numPr>
              <w:wordWrap/>
              <w:adjustRightInd/>
              <w:snapToGrid/>
              <w:spacing w:line="320" w:lineRule="exact"/>
              <w:ind w:left="0" w:leftChars="0" w:firstLine="0" w:firstLineChars="0"/>
              <w:jc w:val="both"/>
              <w:textAlignment w:val="auto"/>
              <w:rPr>
                <w:rFonts w:hint="default" w:ascii="Times New Roman" w:hAnsi="Times New Roman" w:eastAsia="宋体" w:cs="Times New Roman"/>
                <w:b w:val="0"/>
                <w:bCs w:val="0"/>
                <w:spacing w:val="0"/>
                <w:w w:val="100"/>
                <w:sz w:val="21"/>
                <w:szCs w:val="21"/>
                <w:lang w:val="en-US" w:eastAsia="zh-CN"/>
              </w:rPr>
            </w:pPr>
            <w:r>
              <w:rPr>
                <w:rFonts w:hint="default" w:ascii="Times New Roman" w:hAnsi="Times New Roman" w:eastAsia="宋体" w:cs="Times New Roman"/>
                <w:b w:val="0"/>
                <w:bCs w:val="0"/>
                <w:spacing w:val="0"/>
                <w:w w:val="100"/>
                <w:sz w:val="21"/>
                <w:szCs w:val="21"/>
                <w:lang w:val="en-US" w:eastAsia="zh-CN"/>
              </w:rPr>
              <w:t>a.如何根据学校的文化特色，有组织有计划地推动管理理念或制度、模式、方法创新，包括针对具体质量问题，创新管理工具和方法，以使组织的各项活动更加高效。</w:t>
            </w:r>
          </w:p>
          <w:p>
            <w:pPr>
              <w:widowControl w:val="0"/>
              <w:numPr>
                <w:ilvl w:val="0"/>
                <w:numId w:val="0"/>
              </w:numPr>
              <w:wordWrap/>
              <w:adjustRightInd/>
              <w:snapToGrid/>
              <w:spacing w:line="320" w:lineRule="exact"/>
              <w:ind w:left="0" w:leftChars="0" w:firstLine="0" w:firstLineChars="0"/>
              <w:jc w:val="both"/>
              <w:textAlignment w:val="auto"/>
              <w:rPr>
                <w:rFonts w:hint="default" w:ascii="Times New Roman" w:hAnsi="Times New Roman" w:eastAsia="宋体" w:cs="Times New Roman"/>
                <w:b w:val="0"/>
                <w:bCs w:val="0"/>
                <w:spacing w:val="0"/>
                <w:w w:val="100"/>
                <w:sz w:val="21"/>
                <w:szCs w:val="21"/>
                <w:lang w:val="en-US" w:eastAsia="zh-CN"/>
              </w:rPr>
            </w:pPr>
            <w:r>
              <w:rPr>
                <w:rFonts w:hint="default" w:ascii="Times New Roman" w:hAnsi="Times New Roman" w:eastAsia="宋体" w:cs="Times New Roman"/>
                <w:b w:val="0"/>
                <w:bCs w:val="0"/>
                <w:spacing w:val="0"/>
                <w:w w:val="100"/>
                <w:sz w:val="21"/>
                <w:szCs w:val="21"/>
                <w:lang w:val="en-US" w:eastAsia="zh-CN"/>
              </w:rPr>
              <w:t>b.如何进行素质教育和特色教育创新。</w:t>
            </w:r>
          </w:p>
        </w:tc>
        <w:tc>
          <w:tcPr>
            <w:tcW w:w="134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3" w:type="dxa"/>
            <w:vMerge w:val="continue"/>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p>
        </w:tc>
        <w:tc>
          <w:tcPr>
            <w:tcW w:w="1310" w:type="dxa"/>
            <w:vMerge w:val="continue"/>
            <w:vAlign w:val="top"/>
          </w:tcPr>
          <w:p>
            <w:pPr>
              <w:widowControl w:val="0"/>
              <w:wordWrap/>
              <w:adjustRightInd/>
              <w:snapToGrid/>
              <w:spacing w:line="300" w:lineRule="exact"/>
              <w:textAlignment w:val="auto"/>
              <w:rPr>
                <w:rFonts w:hint="default" w:ascii="Times New Roman" w:hAnsi="Times New Roman" w:eastAsia="宋体" w:cs="Times New Roman"/>
                <w:spacing w:val="0"/>
                <w:w w:val="100"/>
                <w:sz w:val="21"/>
                <w:szCs w:val="21"/>
                <w:lang w:val="en-US" w:eastAsia="zh-CN"/>
              </w:rPr>
            </w:pPr>
          </w:p>
        </w:tc>
        <w:tc>
          <w:tcPr>
            <w:tcW w:w="1710"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3.3技术创新</w:t>
            </w:r>
          </w:p>
        </w:tc>
        <w:tc>
          <w:tcPr>
            <w:tcW w:w="10054" w:type="dxa"/>
            <w:vAlign w:val="top"/>
          </w:tcPr>
          <w:p>
            <w:pPr>
              <w:widowControl w:val="0"/>
              <w:numPr>
                <w:ilvl w:val="0"/>
                <w:numId w:val="0"/>
              </w:numPr>
              <w:wordWrap/>
              <w:adjustRightInd/>
              <w:snapToGrid/>
              <w:spacing w:line="320" w:lineRule="exact"/>
              <w:ind w:left="0" w:leftChars="0" w:firstLine="0" w:firstLineChars="0"/>
              <w:jc w:val="both"/>
              <w:textAlignment w:val="auto"/>
              <w:rPr>
                <w:rFonts w:hint="default" w:ascii="Times New Roman" w:hAnsi="Times New Roman" w:eastAsia="宋体" w:cs="Times New Roman"/>
                <w:b w:val="0"/>
                <w:bCs w:val="0"/>
                <w:spacing w:val="0"/>
                <w:w w:val="100"/>
                <w:sz w:val="21"/>
                <w:szCs w:val="21"/>
                <w:lang w:val="en-US" w:eastAsia="zh-CN"/>
              </w:rPr>
            </w:pPr>
            <w:r>
              <w:rPr>
                <w:rFonts w:hint="default" w:ascii="Times New Roman" w:hAnsi="Times New Roman" w:eastAsia="宋体" w:cs="Times New Roman"/>
                <w:b w:val="0"/>
                <w:bCs w:val="0"/>
                <w:spacing w:val="0"/>
                <w:w w:val="100"/>
                <w:sz w:val="21"/>
                <w:szCs w:val="21"/>
                <w:lang w:val="en-US" w:eastAsia="zh-CN"/>
              </w:rPr>
              <w:t>a.如何培养学生的创新意识、创新思维、创造性思维和终身学习的能力，使学生在牢固、系统地掌握学科知识的同时发展他们的创新能力。</w:t>
            </w:r>
          </w:p>
          <w:p>
            <w:pPr>
              <w:widowControl w:val="0"/>
              <w:numPr>
                <w:ilvl w:val="0"/>
                <w:numId w:val="0"/>
              </w:numPr>
              <w:wordWrap/>
              <w:adjustRightInd/>
              <w:snapToGrid/>
              <w:spacing w:line="320" w:lineRule="exact"/>
              <w:ind w:left="0" w:leftChars="0" w:firstLine="0" w:firstLineChars="0"/>
              <w:jc w:val="both"/>
              <w:textAlignment w:val="auto"/>
              <w:rPr>
                <w:rFonts w:hint="default" w:ascii="Times New Roman" w:hAnsi="Times New Roman" w:eastAsia="宋体" w:cs="Times New Roman"/>
                <w:b w:val="0"/>
                <w:bCs w:val="0"/>
                <w:spacing w:val="0"/>
                <w:w w:val="100"/>
                <w:sz w:val="21"/>
                <w:szCs w:val="21"/>
                <w:lang w:val="en-US" w:eastAsia="zh-CN"/>
              </w:rPr>
            </w:pPr>
            <w:r>
              <w:rPr>
                <w:rFonts w:hint="default" w:ascii="Times New Roman" w:hAnsi="Times New Roman" w:eastAsia="宋体" w:cs="Times New Roman"/>
                <w:b w:val="0"/>
                <w:bCs w:val="0"/>
                <w:spacing w:val="0"/>
                <w:w w:val="100"/>
                <w:sz w:val="21"/>
                <w:szCs w:val="21"/>
                <w:lang w:val="en-US" w:eastAsia="zh-CN"/>
              </w:rPr>
              <w:t>b.如何建立、实施和保持教育教学科研技术评估体系，并从教学整体出发，运用系统的科学方法，优化资源配置，达到最佳教学效果。</w:t>
            </w:r>
          </w:p>
          <w:p>
            <w:pPr>
              <w:widowControl w:val="0"/>
              <w:numPr>
                <w:ilvl w:val="0"/>
                <w:numId w:val="0"/>
              </w:numPr>
              <w:wordWrap/>
              <w:adjustRightInd/>
              <w:snapToGrid/>
              <w:spacing w:line="320" w:lineRule="exact"/>
              <w:ind w:left="0" w:leftChars="0" w:firstLine="0" w:firstLineChars="0"/>
              <w:jc w:val="both"/>
              <w:textAlignment w:val="auto"/>
              <w:rPr>
                <w:rFonts w:hint="default" w:ascii="Times New Roman" w:hAnsi="Times New Roman" w:eastAsia="宋体" w:cs="Times New Roman"/>
                <w:b w:val="0"/>
                <w:bCs w:val="0"/>
                <w:spacing w:val="0"/>
                <w:w w:val="100"/>
                <w:sz w:val="21"/>
                <w:szCs w:val="21"/>
                <w:lang w:val="en-US" w:eastAsia="zh-CN"/>
              </w:rPr>
            </w:pPr>
            <w:r>
              <w:rPr>
                <w:rFonts w:hint="default" w:ascii="Times New Roman" w:hAnsi="Times New Roman" w:eastAsia="宋体" w:cs="Times New Roman"/>
                <w:b w:val="0"/>
                <w:bCs w:val="0"/>
                <w:spacing w:val="0"/>
                <w:w w:val="100"/>
                <w:sz w:val="21"/>
                <w:szCs w:val="21"/>
                <w:lang w:val="en-US" w:eastAsia="zh-CN"/>
              </w:rPr>
              <w:t>c.如何利用互联网、物联网、大数据、云计算、5G等新一代信息技术对教与学过程和资源设计、开发、利用、管理和评价，以实现教与学过程优化、</w:t>
            </w:r>
            <w:r>
              <w:rPr>
                <w:rFonts w:hint="default" w:ascii="Times New Roman" w:hAnsi="Times New Roman" w:eastAsia="宋体" w:cs="Times New Roman"/>
                <w:b w:val="0"/>
                <w:bCs w:val="0"/>
                <w:spacing w:val="0"/>
                <w:w w:val="100"/>
                <w:sz w:val="21"/>
                <w:szCs w:val="21"/>
              </w:rPr>
              <w:t>创新</w:t>
            </w:r>
            <w:r>
              <w:rPr>
                <w:rFonts w:hint="default" w:ascii="Times New Roman" w:hAnsi="Times New Roman" w:eastAsia="宋体" w:cs="Times New Roman"/>
                <w:b w:val="0"/>
                <w:bCs w:val="0"/>
                <w:spacing w:val="0"/>
                <w:w w:val="100"/>
                <w:sz w:val="21"/>
                <w:szCs w:val="21"/>
                <w:lang w:val="en-US" w:eastAsia="zh-CN"/>
              </w:rPr>
              <w:t>和改进。</w:t>
            </w:r>
          </w:p>
        </w:tc>
        <w:tc>
          <w:tcPr>
            <w:tcW w:w="134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5" w:hRule="atLeast"/>
          <w:jc w:val="center"/>
        </w:trPr>
        <w:tc>
          <w:tcPr>
            <w:tcW w:w="773" w:type="dxa"/>
            <w:vMerge w:val="restart"/>
            <w:vAlign w:val="center"/>
          </w:tcPr>
          <w:p>
            <w:pPr>
              <w:widowControl w:val="0"/>
              <w:numPr>
                <w:ilvl w:val="0"/>
                <w:numId w:val="0"/>
              </w:numPr>
              <w:wordWrap/>
              <w:adjustRightInd/>
              <w:snapToGrid/>
              <w:spacing w:line="300" w:lineRule="exact"/>
              <w:ind w:left="0" w:leftChars="0" w:firstLine="0" w:firstLineChars="0"/>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4</w:t>
            </w:r>
          </w:p>
        </w:tc>
        <w:tc>
          <w:tcPr>
            <w:tcW w:w="1310" w:type="dxa"/>
            <w:vMerge w:val="restart"/>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品牌150分</w:t>
            </w:r>
          </w:p>
        </w:tc>
        <w:tc>
          <w:tcPr>
            <w:tcW w:w="1710"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highlight w:val="none"/>
                <w:lang w:val="en-US" w:eastAsia="zh-CN"/>
              </w:rPr>
            </w:pPr>
            <w:r>
              <w:rPr>
                <w:rFonts w:hint="default" w:ascii="Times New Roman" w:hAnsi="Times New Roman" w:eastAsia="宋体" w:cs="Times New Roman"/>
                <w:spacing w:val="0"/>
                <w:w w:val="100"/>
                <w:sz w:val="21"/>
                <w:szCs w:val="21"/>
                <w:highlight w:val="none"/>
                <w:lang w:val="en-US" w:eastAsia="zh-CN"/>
              </w:rPr>
              <w:t>4.1学校条件</w:t>
            </w:r>
          </w:p>
        </w:tc>
        <w:tc>
          <w:tcPr>
            <w:tcW w:w="10054" w:type="dxa"/>
            <w:vAlign w:val="top"/>
          </w:tcPr>
          <w:p>
            <w:pPr>
              <w:widowControl w:val="0"/>
              <w:numPr>
                <w:ilvl w:val="0"/>
                <w:numId w:val="0"/>
              </w:numPr>
              <w:wordWrap/>
              <w:adjustRightInd/>
              <w:snapToGrid/>
              <w:spacing w:line="320" w:lineRule="exact"/>
              <w:ind w:left="0" w:leftChars="0" w:firstLine="0" w:firstLineChars="0"/>
              <w:jc w:val="both"/>
              <w:textAlignment w:val="auto"/>
              <w:rPr>
                <w:rFonts w:hint="default" w:ascii="Times New Roman" w:hAnsi="Times New Roman" w:eastAsia="宋体" w:cs="Times New Roman"/>
                <w:b w:val="0"/>
                <w:bCs w:val="0"/>
                <w:spacing w:val="0"/>
                <w:w w:val="100"/>
                <w:sz w:val="21"/>
                <w:szCs w:val="21"/>
                <w:lang w:val="en-US" w:eastAsia="zh-CN"/>
              </w:rPr>
            </w:pPr>
            <w:r>
              <w:rPr>
                <w:rFonts w:hint="default" w:ascii="Times New Roman" w:hAnsi="Times New Roman" w:eastAsia="宋体" w:cs="Times New Roman"/>
                <w:b w:val="0"/>
                <w:bCs w:val="0"/>
                <w:spacing w:val="0"/>
                <w:w w:val="100"/>
                <w:sz w:val="21"/>
                <w:szCs w:val="21"/>
                <w:lang w:val="en-US" w:eastAsia="zh-CN"/>
              </w:rPr>
              <w:t>a.如何确定、提供并维护教学场所、运动场地、公共绿地、教学实验设施设备、音体美辅助设施、心理辅导、图书馆、学校食堂、校车等基础设施。</w:t>
            </w:r>
          </w:p>
          <w:p>
            <w:pPr>
              <w:widowControl w:val="0"/>
              <w:numPr>
                <w:ilvl w:val="0"/>
                <w:numId w:val="0"/>
              </w:numPr>
              <w:wordWrap/>
              <w:adjustRightInd/>
              <w:snapToGrid/>
              <w:spacing w:line="320" w:lineRule="exact"/>
              <w:ind w:left="0" w:leftChars="0" w:firstLine="0" w:firstLineChars="0"/>
              <w:jc w:val="both"/>
              <w:textAlignment w:val="auto"/>
              <w:rPr>
                <w:rFonts w:hint="default" w:ascii="Times New Roman" w:hAnsi="Times New Roman" w:eastAsia="宋体" w:cs="Times New Roman"/>
                <w:b w:val="0"/>
                <w:bCs w:val="0"/>
                <w:spacing w:val="0"/>
                <w:w w:val="100"/>
                <w:sz w:val="21"/>
                <w:szCs w:val="21"/>
                <w:lang w:val="en-US" w:eastAsia="zh-CN"/>
              </w:rPr>
            </w:pPr>
            <w:r>
              <w:rPr>
                <w:rFonts w:hint="default" w:ascii="Times New Roman" w:hAnsi="Times New Roman" w:eastAsia="宋体" w:cs="Times New Roman"/>
                <w:b w:val="0"/>
                <w:bCs w:val="0"/>
                <w:spacing w:val="0"/>
                <w:w w:val="100"/>
                <w:sz w:val="21"/>
                <w:szCs w:val="21"/>
                <w:lang w:val="en-US" w:eastAsia="zh-CN"/>
              </w:rPr>
              <w:t>b.如何加强学校教育信息化建设。</w:t>
            </w:r>
          </w:p>
          <w:p>
            <w:pPr>
              <w:widowControl w:val="0"/>
              <w:numPr>
                <w:ilvl w:val="0"/>
                <w:numId w:val="0"/>
              </w:numPr>
              <w:wordWrap/>
              <w:adjustRightInd/>
              <w:snapToGrid/>
              <w:spacing w:line="320" w:lineRule="exact"/>
              <w:ind w:left="0" w:leftChars="0" w:firstLine="0" w:firstLineChars="0"/>
              <w:jc w:val="both"/>
              <w:textAlignment w:val="auto"/>
              <w:rPr>
                <w:rFonts w:hint="default" w:ascii="Times New Roman" w:hAnsi="Times New Roman" w:eastAsia="宋体" w:cs="Times New Roman"/>
                <w:b w:val="0"/>
                <w:bCs w:val="0"/>
                <w:spacing w:val="0"/>
                <w:w w:val="100"/>
                <w:sz w:val="21"/>
                <w:szCs w:val="21"/>
                <w:lang w:val="en-US" w:eastAsia="zh-CN"/>
              </w:rPr>
            </w:pPr>
            <w:r>
              <w:rPr>
                <w:rFonts w:hint="default" w:ascii="Times New Roman" w:hAnsi="Times New Roman" w:eastAsia="宋体" w:cs="Times New Roman"/>
                <w:b w:val="0"/>
                <w:bCs w:val="0"/>
                <w:spacing w:val="0"/>
                <w:w w:val="100"/>
                <w:sz w:val="21"/>
                <w:szCs w:val="21"/>
                <w:lang w:val="en-US" w:eastAsia="zh-CN"/>
              </w:rPr>
              <w:t>c.如何建立劳动教育、综合实践基地，统筹利用博物馆、展览馆、红色教育基地、乡村人文自然资源等开展教育教学活动。</w:t>
            </w:r>
          </w:p>
        </w:tc>
        <w:tc>
          <w:tcPr>
            <w:tcW w:w="134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3" w:type="dxa"/>
            <w:vMerge w:val="continue"/>
            <w:vAlign w:val="center"/>
          </w:tcPr>
          <w:p>
            <w:pPr>
              <w:widowControl w:val="0"/>
              <w:wordWrap/>
              <w:adjustRightInd/>
              <w:snapToGrid/>
              <w:spacing w:line="400" w:lineRule="exact"/>
              <w:jc w:val="center"/>
              <w:textAlignment w:val="auto"/>
              <w:rPr>
                <w:rFonts w:hint="default" w:ascii="Times New Roman" w:hAnsi="Times New Roman" w:eastAsia="宋体" w:cs="Times New Roman"/>
                <w:spacing w:val="0"/>
                <w:w w:val="100"/>
                <w:sz w:val="21"/>
                <w:szCs w:val="21"/>
              </w:rPr>
            </w:pPr>
          </w:p>
        </w:tc>
        <w:tc>
          <w:tcPr>
            <w:tcW w:w="1310" w:type="dxa"/>
            <w:vMerge w:val="continue"/>
            <w:vAlign w:val="center"/>
          </w:tcPr>
          <w:p>
            <w:pPr>
              <w:widowControl w:val="0"/>
              <w:wordWrap/>
              <w:adjustRightInd/>
              <w:snapToGrid/>
              <w:spacing w:line="400" w:lineRule="exact"/>
              <w:jc w:val="center"/>
              <w:textAlignment w:val="auto"/>
              <w:rPr>
                <w:rFonts w:hint="default" w:ascii="Times New Roman" w:hAnsi="Times New Roman" w:eastAsia="宋体" w:cs="Times New Roman"/>
                <w:spacing w:val="0"/>
                <w:w w:val="100"/>
                <w:sz w:val="21"/>
                <w:szCs w:val="21"/>
              </w:rPr>
            </w:pPr>
          </w:p>
        </w:tc>
        <w:tc>
          <w:tcPr>
            <w:tcW w:w="1710" w:type="dxa"/>
            <w:vAlign w:val="center"/>
          </w:tcPr>
          <w:p>
            <w:pPr>
              <w:widowControl w:val="0"/>
              <w:wordWrap/>
              <w:adjustRightInd/>
              <w:snapToGrid/>
              <w:spacing w:line="400" w:lineRule="exact"/>
              <w:jc w:val="center"/>
              <w:textAlignment w:val="auto"/>
              <w:rPr>
                <w:rFonts w:hint="default" w:ascii="Times New Roman" w:hAnsi="Times New Roman" w:eastAsia="宋体" w:cs="Times New Roman"/>
                <w:spacing w:val="0"/>
                <w:w w:val="100"/>
                <w:sz w:val="21"/>
                <w:szCs w:val="21"/>
                <w:highlight w:val="none"/>
                <w:lang w:val="en-US" w:eastAsia="zh-CN"/>
              </w:rPr>
            </w:pPr>
            <w:r>
              <w:rPr>
                <w:rFonts w:hint="default" w:ascii="Times New Roman" w:hAnsi="Times New Roman" w:eastAsia="宋体" w:cs="Times New Roman"/>
                <w:spacing w:val="0"/>
                <w:w w:val="100"/>
                <w:sz w:val="21"/>
                <w:szCs w:val="21"/>
                <w:highlight w:val="none"/>
                <w:lang w:val="en-US" w:eastAsia="zh-CN"/>
              </w:rPr>
              <w:t>4.2沟通反馈</w:t>
            </w:r>
          </w:p>
        </w:tc>
        <w:tc>
          <w:tcPr>
            <w:tcW w:w="10054" w:type="dxa"/>
            <w:vAlign w:val="top"/>
          </w:tcPr>
          <w:p>
            <w:pPr>
              <w:widowControl w:val="0"/>
              <w:numPr>
                <w:ilvl w:val="0"/>
                <w:numId w:val="0"/>
              </w:numPr>
              <w:wordWrap/>
              <w:adjustRightInd/>
              <w:snapToGrid/>
              <w:spacing w:line="400" w:lineRule="exact"/>
              <w:ind w:left="0" w:leftChars="0" w:firstLine="0" w:firstLineChars="0"/>
              <w:jc w:val="both"/>
              <w:textAlignment w:val="auto"/>
              <w:rPr>
                <w:rFonts w:hint="default" w:ascii="Times New Roman" w:hAnsi="Times New Roman" w:eastAsia="宋体" w:cs="Times New Roman"/>
                <w:b w:val="0"/>
                <w:bCs w:val="0"/>
                <w:spacing w:val="0"/>
                <w:w w:val="100"/>
                <w:sz w:val="21"/>
                <w:szCs w:val="21"/>
                <w:lang w:val="en-US" w:eastAsia="zh-CN"/>
              </w:rPr>
            </w:pPr>
            <w:r>
              <w:rPr>
                <w:rFonts w:hint="default" w:ascii="Times New Roman" w:hAnsi="Times New Roman" w:eastAsia="宋体" w:cs="Times New Roman"/>
                <w:b w:val="0"/>
                <w:bCs w:val="0"/>
                <w:spacing w:val="0"/>
                <w:w w:val="100"/>
                <w:sz w:val="21"/>
                <w:szCs w:val="21"/>
                <w:lang w:val="en-US" w:eastAsia="zh-CN"/>
              </w:rPr>
              <w:t>a.学校如何建立与学生及家长就教学质量、教学过程、教师素质、校纪校风、教育管理、餐饮、医疗、校车等方面进行沟通反馈的机制。</w:t>
            </w:r>
          </w:p>
          <w:p>
            <w:pPr>
              <w:widowControl w:val="0"/>
              <w:numPr>
                <w:ilvl w:val="0"/>
                <w:numId w:val="0"/>
              </w:numPr>
              <w:wordWrap/>
              <w:adjustRightInd/>
              <w:snapToGrid/>
              <w:spacing w:line="400" w:lineRule="exact"/>
              <w:ind w:left="0" w:leftChars="0" w:firstLine="0" w:firstLineChars="0"/>
              <w:jc w:val="both"/>
              <w:textAlignment w:val="auto"/>
              <w:rPr>
                <w:rFonts w:hint="default" w:ascii="Times New Roman" w:hAnsi="Times New Roman" w:eastAsia="宋体" w:cs="Times New Roman"/>
                <w:b w:val="0"/>
                <w:bCs w:val="0"/>
                <w:spacing w:val="0"/>
                <w:w w:val="100"/>
                <w:sz w:val="21"/>
                <w:szCs w:val="21"/>
                <w:lang w:val="en-US" w:eastAsia="zh-CN"/>
              </w:rPr>
            </w:pPr>
            <w:r>
              <w:rPr>
                <w:rFonts w:hint="default" w:ascii="Times New Roman" w:hAnsi="Times New Roman" w:eastAsia="宋体" w:cs="Times New Roman"/>
                <w:b w:val="0"/>
                <w:bCs w:val="0"/>
                <w:spacing w:val="0"/>
                <w:w w:val="100"/>
                <w:sz w:val="21"/>
                <w:szCs w:val="21"/>
                <w:lang w:val="en-US" w:eastAsia="zh-CN"/>
              </w:rPr>
              <w:t>b.如何利用学生及家长的反馈信息改善学校管理和教学质量。</w:t>
            </w:r>
          </w:p>
        </w:tc>
        <w:tc>
          <w:tcPr>
            <w:tcW w:w="134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3" w:type="dxa"/>
            <w:vMerge w:val="continue"/>
            <w:vAlign w:val="center"/>
          </w:tcPr>
          <w:p>
            <w:pPr>
              <w:widowControl w:val="0"/>
              <w:wordWrap/>
              <w:adjustRightInd/>
              <w:snapToGrid/>
              <w:spacing w:line="400" w:lineRule="exact"/>
              <w:jc w:val="center"/>
              <w:textAlignment w:val="auto"/>
              <w:rPr>
                <w:rFonts w:hint="default" w:ascii="Times New Roman" w:hAnsi="Times New Roman" w:eastAsia="宋体" w:cs="Times New Roman"/>
                <w:spacing w:val="0"/>
                <w:w w:val="100"/>
                <w:sz w:val="21"/>
                <w:szCs w:val="21"/>
                <w:lang w:val="en-US" w:eastAsia="zh-CN"/>
              </w:rPr>
            </w:pPr>
          </w:p>
        </w:tc>
        <w:tc>
          <w:tcPr>
            <w:tcW w:w="1310" w:type="dxa"/>
            <w:vMerge w:val="continue"/>
            <w:vAlign w:val="center"/>
          </w:tcPr>
          <w:p>
            <w:pPr>
              <w:widowControl w:val="0"/>
              <w:wordWrap/>
              <w:adjustRightInd/>
              <w:snapToGrid/>
              <w:spacing w:line="400" w:lineRule="exact"/>
              <w:jc w:val="center"/>
              <w:textAlignment w:val="auto"/>
              <w:rPr>
                <w:rFonts w:hint="default" w:ascii="Times New Roman" w:hAnsi="Times New Roman" w:eastAsia="宋体" w:cs="Times New Roman"/>
                <w:spacing w:val="0"/>
                <w:w w:val="100"/>
                <w:sz w:val="21"/>
                <w:szCs w:val="21"/>
                <w:lang w:val="en-US" w:eastAsia="zh-CN"/>
              </w:rPr>
            </w:pPr>
          </w:p>
        </w:tc>
        <w:tc>
          <w:tcPr>
            <w:tcW w:w="1710" w:type="dxa"/>
            <w:vAlign w:val="center"/>
          </w:tcPr>
          <w:p>
            <w:pPr>
              <w:widowControl w:val="0"/>
              <w:wordWrap/>
              <w:adjustRightInd/>
              <w:snapToGrid/>
              <w:spacing w:line="400" w:lineRule="exact"/>
              <w:jc w:val="center"/>
              <w:textAlignment w:val="auto"/>
              <w:rPr>
                <w:rFonts w:hint="default" w:ascii="Times New Roman" w:hAnsi="Times New Roman" w:eastAsia="宋体" w:cs="Times New Roman"/>
                <w:spacing w:val="0"/>
                <w:w w:val="100"/>
                <w:sz w:val="21"/>
                <w:szCs w:val="21"/>
                <w:highlight w:val="none"/>
                <w:lang w:val="en-US" w:eastAsia="zh-CN"/>
              </w:rPr>
            </w:pPr>
            <w:r>
              <w:rPr>
                <w:rFonts w:hint="default" w:ascii="Times New Roman" w:hAnsi="Times New Roman" w:eastAsia="宋体" w:cs="Times New Roman"/>
                <w:spacing w:val="0"/>
                <w:w w:val="100"/>
                <w:sz w:val="21"/>
                <w:szCs w:val="21"/>
                <w:highlight w:val="none"/>
                <w:lang w:val="en-US" w:eastAsia="zh-CN"/>
              </w:rPr>
              <w:t>4.3办学评价</w:t>
            </w:r>
          </w:p>
        </w:tc>
        <w:tc>
          <w:tcPr>
            <w:tcW w:w="10054" w:type="dxa"/>
            <w:vAlign w:val="top"/>
          </w:tcPr>
          <w:p>
            <w:pPr>
              <w:widowControl w:val="0"/>
              <w:numPr>
                <w:ilvl w:val="0"/>
                <w:numId w:val="0"/>
              </w:numPr>
              <w:wordWrap/>
              <w:adjustRightInd/>
              <w:snapToGrid/>
              <w:spacing w:line="400" w:lineRule="exact"/>
              <w:ind w:left="0" w:leftChars="0" w:firstLine="0" w:firstLineChars="0"/>
              <w:jc w:val="both"/>
              <w:textAlignment w:val="auto"/>
              <w:rPr>
                <w:rFonts w:hint="default" w:ascii="Times New Roman" w:hAnsi="Times New Roman" w:eastAsia="宋体" w:cs="Times New Roman"/>
                <w:b w:val="0"/>
                <w:bCs w:val="0"/>
                <w:spacing w:val="0"/>
                <w:w w:val="100"/>
                <w:sz w:val="21"/>
                <w:szCs w:val="21"/>
                <w:lang w:val="en-US" w:eastAsia="zh-CN"/>
              </w:rPr>
            </w:pPr>
            <w:r>
              <w:rPr>
                <w:rFonts w:hint="default" w:ascii="Times New Roman" w:hAnsi="Times New Roman" w:eastAsia="宋体" w:cs="Times New Roman"/>
                <w:b w:val="0"/>
                <w:bCs w:val="0"/>
                <w:spacing w:val="0"/>
                <w:w w:val="100"/>
                <w:sz w:val="21"/>
                <w:szCs w:val="21"/>
                <w:lang w:val="en-US" w:eastAsia="zh-CN"/>
              </w:rPr>
              <w:t>a.如何建立及实施内外部教学评价机制。</w:t>
            </w:r>
          </w:p>
          <w:p>
            <w:pPr>
              <w:widowControl w:val="0"/>
              <w:numPr>
                <w:ilvl w:val="0"/>
                <w:numId w:val="0"/>
              </w:numPr>
              <w:wordWrap/>
              <w:adjustRightInd/>
              <w:snapToGrid/>
              <w:spacing w:line="400" w:lineRule="exact"/>
              <w:ind w:left="0" w:leftChars="0" w:firstLine="0" w:firstLineChars="0"/>
              <w:jc w:val="both"/>
              <w:textAlignment w:val="auto"/>
              <w:rPr>
                <w:rFonts w:hint="default" w:ascii="Times New Roman" w:hAnsi="Times New Roman" w:eastAsia="宋体" w:cs="Times New Roman"/>
                <w:b w:val="0"/>
                <w:bCs w:val="0"/>
                <w:spacing w:val="0"/>
                <w:w w:val="100"/>
                <w:sz w:val="21"/>
                <w:szCs w:val="21"/>
                <w:lang w:val="en-US" w:eastAsia="zh-CN"/>
              </w:rPr>
            </w:pPr>
            <w:r>
              <w:rPr>
                <w:rFonts w:hint="default" w:ascii="Times New Roman" w:hAnsi="Times New Roman" w:eastAsia="宋体" w:cs="Times New Roman"/>
                <w:b w:val="0"/>
                <w:bCs w:val="0"/>
                <w:spacing w:val="0"/>
                <w:w w:val="100"/>
                <w:sz w:val="21"/>
                <w:szCs w:val="21"/>
                <w:lang w:val="en-US" w:eastAsia="zh-CN"/>
              </w:rPr>
              <w:t>b.如何利用主管部门或相关机构对学校的评价改进教学质量。</w:t>
            </w:r>
          </w:p>
          <w:p>
            <w:pPr>
              <w:widowControl w:val="0"/>
              <w:numPr>
                <w:ilvl w:val="0"/>
                <w:numId w:val="0"/>
              </w:numPr>
              <w:wordWrap/>
              <w:adjustRightInd/>
              <w:snapToGrid/>
              <w:spacing w:line="400" w:lineRule="exact"/>
              <w:ind w:left="0" w:leftChars="0" w:firstLine="0" w:firstLineChars="0"/>
              <w:jc w:val="both"/>
              <w:textAlignment w:val="auto"/>
              <w:rPr>
                <w:rFonts w:hint="default" w:ascii="Times New Roman" w:hAnsi="Times New Roman" w:eastAsia="宋体" w:cs="Times New Roman"/>
                <w:b w:val="0"/>
                <w:bCs w:val="0"/>
                <w:spacing w:val="0"/>
                <w:w w:val="100"/>
                <w:sz w:val="21"/>
                <w:szCs w:val="21"/>
                <w:lang w:val="en-US" w:eastAsia="zh-CN"/>
              </w:rPr>
            </w:pPr>
            <w:r>
              <w:rPr>
                <w:rFonts w:hint="default" w:ascii="Times New Roman" w:hAnsi="Times New Roman" w:eastAsia="宋体" w:cs="Times New Roman"/>
                <w:b w:val="0"/>
                <w:bCs w:val="0"/>
                <w:spacing w:val="0"/>
                <w:w w:val="100"/>
                <w:sz w:val="21"/>
                <w:szCs w:val="21"/>
                <w:lang w:val="en-US" w:eastAsia="zh-CN"/>
              </w:rPr>
              <w:t>c.如何进行学生综合素质评价，并加强综合素质档案建设和使用，客观反映学生德智体美劳全面发展整体水平及变化。</w:t>
            </w:r>
          </w:p>
          <w:p>
            <w:pPr>
              <w:widowControl w:val="0"/>
              <w:numPr>
                <w:ilvl w:val="0"/>
                <w:numId w:val="0"/>
              </w:numPr>
              <w:wordWrap/>
              <w:adjustRightInd/>
              <w:snapToGrid/>
              <w:spacing w:line="400" w:lineRule="exact"/>
              <w:ind w:left="0" w:leftChars="0" w:firstLine="0" w:firstLineChars="0"/>
              <w:jc w:val="both"/>
              <w:textAlignment w:val="auto"/>
              <w:rPr>
                <w:rFonts w:hint="default" w:ascii="Times New Roman" w:hAnsi="Times New Roman" w:eastAsia="宋体" w:cs="Times New Roman"/>
                <w:b w:val="0"/>
                <w:bCs w:val="0"/>
                <w:spacing w:val="0"/>
                <w:w w:val="100"/>
                <w:sz w:val="21"/>
                <w:szCs w:val="21"/>
                <w:lang w:val="en-US" w:eastAsia="zh-CN"/>
              </w:rPr>
            </w:pPr>
            <w:r>
              <w:rPr>
                <w:rFonts w:hint="default" w:ascii="Times New Roman" w:hAnsi="Times New Roman" w:eastAsia="宋体" w:cs="Times New Roman"/>
                <w:b w:val="0"/>
                <w:bCs w:val="0"/>
                <w:spacing w:val="0"/>
                <w:w w:val="100"/>
                <w:sz w:val="21"/>
                <w:szCs w:val="21"/>
                <w:lang w:val="en-US" w:eastAsia="zh-CN"/>
              </w:rPr>
              <w:t>d.师生、家长、社会等方面对学校教育教学服务质量的满意度。</w:t>
            </w:r>
          </w:p>
        </w:tc>
        <w:tc>
          <w:tcPr>
            <w:tcW w:w="134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3" w:type="dxa"/>
            <w:vMerge w:val="restart"/>
            <w:vAlign w:val="center"/>
          </w:tcPr>
          <w:p>
            <w:pPr>
              <w:widowControl w:val="0"/>
              <w:numPr>
                <w:ilvl w:val="0"/>
                <w:numId w:val="0"/>
              </w:numPr>
              <w:wordWrap/>
              <w:adjustRightInd/>
              <w:snapToGrid/>
              <w:spacing w:line="400" w:lineRule="exact"/>
              <w:ind w:left="0" w:leftChars="0" w:firstLine="0" w:firstLineChars="0"/>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w:t>
            </w:r>
          </w:p>
        </w:tc>
        <w:tc>
          <w:tcPr>
            <w:tcW w:w="1310" w:type="dxa"/>
            <w:vMerge w:val="restart"/>
            <w:vAlign w:val="center"/>
          </w:tcPr>
          <w:p>
            <w:pPr>
              <w:widowControl w:val="0"/>
              <w:wordWrap/>
              <w:adjustRightInd/>
              <w:snapToGrid/>
              <w:spacing w:line="4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效益</w:t>
            </w:r>
          </w:p>
          <w:p>
            <w:pPr>
              <w:widowControl w:val="0"/>
              <w:wordWrap/>
              <w:adjustRightInd/>
              <w:snapToGrid/>
              <w:spacing w:line="4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200分</w:t>
            </w:r>
          </w:p>
        </w:tc>
        <w:tc>
          <w:tcPr>
            <w:tcW w:w="1710" w:type="dxa"/>
            <w:vAlign w:val="center"/>
          </w:tcPr>
          <w:p>
            <w:pPr>
              <w:widowControl w:val="0"/>
              <w:wordWrap/>
              <w:adjustRightInd/>
              <w:snapToGrid/>
              <w:spacing w:line="400" w:lineRule="exact"/>
              <w:jc w:val="center"/>
              <w:textAlignment w:val="auto"/>
              <w:rPr>
                <w:rFonts w:hint="default" w:ascii="Times New Roman" w:hAnsi="Times New Roman" w:eastAsia="宋体" w:cs="Times New Roman"/>
                <w:spacing w:val="0"/>
                <w:w w:val="100"/>
                <w:sz w:val="21"/>
                <w:szCs w:val="21"/>
                <w:highlight w:val="none"/>
                <w:lang w:val="en-US" w:eastAsia="zh-CN"/>
              </w:rPr>
            </w:pPr>
            <w:r>
              <w:rPr>
                <w:rFonts w:hint="default" w:ascii="Times New Roman" w:hAnsi="Times New Roman" w:eastAsia="宋体" w:cs="Times New Roman"/>
                <w:spacing w:val="0"/>
                <w:w w:val="100"/>
                <w:sz w:val="21"/>
                <w:szCs w:val="21"/>
                <w:highlight w:val="none"/>
                <w:lang w:val="en-US" w:eastAsia="zh-CN"/>
              </w:rPr>
              <w:t>5.1教学水平</w:t>
            </w:r>
          </w:p>
        </w:tc>
        <w:tc>
          <w:tcPr>
            <w:tcW w:w="10054" w:type="dxa"/>
            <w:vAlign w:val="top"/>
          </w:tcPr>
          <w:p>
            <w:pPr>
              <w:widowControl w:val="0"/>
              <w:numPr>
                <w:ilvl w:val="0"/>
                <w:numId w:val="0"/>
              </w:numPr>
              <w:wordWrap/>
              <w:adjustRightInd/>
              <w:snapToGrid/>
              <w:spacing w:line="400" w:lineRule="exact"/>
              <w:ind w:left="0" w:leftChars="0" w:firstLine="0" w:firstLineChars="0"/>
              <w:jc w:val="both"/>
              <w:textAlignment w:val="auto"/>
              <w:rPr>
                <w:rFonts w:hint="default" w:ascii="Times New Roman" w:hAnsi="Times New Roman" w:eastAsia="宋体" w:cs="Times New Roman"/>
                <w:b w:val="0"/>
                <w:bCs w:val="0"/>
                <w:spacing w:val="0"/>
                <w:w w:val="100"/>
                <w:sz w:val="21"/>
                <w:szCs w:val="21"/>
                <w:lang w:val="en-US" w:eastAsia="zh-CN"/>
              </w:rPr>
            </w:pPr>
            <w:r>
              <w:rPr>
                <w:rFonts w:hint="default" w:ascii="Times New Roman" w:hAnsi="Times New Roman" w:eastAsia="宋体" w:cs="Times New Roman"/>
                <w:b w:val="0"/>
                <w:bCs w:val="0"/>
                <w:spacing w:val="0"/>
                <w:w w:val="100"/>
                <w:sz w:val="21"/>
                <w:szCs w:val="21"/>
                <w:lang w:val="en-US" w:eastAsia="zh-CN"/>
              </w:rPr>
              <w:t>a.说明教学质量水平，如学生的思想品德、理想信念、学业水平和身心发展等情况。</w:t>
            </w:r>
          </w:p>
          <w:p>
            <w:pPr>
              <w:widowControl w:val="0"/>
              <w:numPr>
                <w:ilvl w:val="0"/>
                <w:numId w:val="0"/>
              </w:numPr>
              <w:wordWrap/>
              <w:adjustRightInd/>
              <w:snapToGrid/>
              <w:spacing w:line="400" w:lineRule="exact"/>
              <w:ind w:left="0" w:leftChars="0" w:firstLine="0" w:firstLineChars="0"/>
              <w:jc w:val="both"/>
              <w:textAlignment w:val="auto"/>
              <w:rPr>
                <w:rFonts w:hint="default" w:ascii="Times New Roman" w:hAnsi="Times New Roman" w:eastAsia="宋体" w:cs="Times New Roman"/>
                <w:b w:val="0"/>
                <w:bCs w:val="0"/>
                <w:spacing w:val="0"/>
                <w:w w:val="100"/>
                <w:sz w:val="21"/>
                <w:szCs w:val="21"/>
                <w:lang w:val="en-US" w:eastAsia="zh-CN"/>
              </w:rPr>
            </w:pPr>
            <w:r>
              <w:rPr>
                <w:rFonts w:hint="default" w:ascii="Times New Roman" w:hAnsi="Times New Roman" w:eastAsia="宋体" w:cs="Times New Roman"/>
                <w:b w:val="0"/>
                <w:bCs w:val="0"/>
                <w:spacing w:val="0"/>
                <w:w w:val="100"/>
                <w:sz w:val="21"/>
                <w:szCs w:val="21"/>
                <w:lang w:val="en-US" w:eastAsia="zh-CN"/>
              </w:rPr>
              <w:t>b.职业院校应说明向社会发布职业教育质量和毕业生就业等情况，以及就业率、专业对口就业率、平均薪酬、用人单位对毕业生满意度、毕业生就业满意度等情况。</w:t>
            </w:r>
          </w:p>
        </w:tc>
        <w:tc>
          <w:tcPr>
            <w:tcW w:w="134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3" w:type="dxa"/>
            <w:vMerge w:val="continue"/>
            <w:vAlign w:val="top"/>
          </w:tcPr>
          <w:p>
            <w:pPr>
              <w:widowControl w:val="0"/>
              <w:wordWrap/>
              <w:adjustRightInd/>
              <w:snapToGrid/>
              <w:spacing w:line="40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1310" w:type="dxa"/>
            <w:vMerge w:val="continue"/>
            <w:vAlign w:val="top"/>
          </w:tcPr>
          <w:p>
            <w:pPr>
              <w:widowControl w:val="0"/>
              <w:wordWrap/>
              <w:adjustRightInd/>
              <w:snapToGrid/>
              <w:spacing w:line="400" w:lineRule="exact"/>
              <w:jc w:val="center"/>
              <w:textAlignment w:val="auto"/>
              <w:rPr>
                <w:rFonts w:hint="default" w:ascii="Times New Roman" w:hAnsi="Times New Roman" w:eastAsia="宋体" w:cs="Times New Roman"/>
                <w:spacing w:val="0"/>
                <w:w w:val="100"/>
                <w:sz w:val="21"/>
                <w:szCs w:val="21"/>
                <w:lang w:val="en-US" w:eastAsia="zh-CN"/>
              </w:rPr>
            </w:pPr>
          </w:p>
        </w:tc>
        <w:tc>
          <w:tcPr>
            <w:tcW w:w="1710" w:type="dxa"/>
            <w:vAlign w:val="center"/>
          </w:tcPr>
          <w:p>
            <w:pPr>
              <w:widowControl w:val="0"/>
              <w:wordWrap/>
              <w:adjustRightInd/>
              <w:snapToGrid/>
              <w:spacing w:line="4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5.2创新价值</w:t>
            </w:r>
          </w:p>
        </w:tc>
        <w:tc>
          <w:tcPr>
            <w:tcW w:w="10054" w:type="dxa"/>
            <w:vAlign w:val="top"/>
          </w:tcPr>
          <w:p>
            <w:pPr>
              <w:widowControl w:val="0"/>
              <w:numPr>
                <w:ilvl w:val="0"/>
                <w:numId w:val="0"/>
              </w:numPr>
              <w:wordWrap/>
              <w:adjustRightInd/>
              <w:snapToGrid/>
              <w:spacing w:line="400" w:lineRule="exact"/>
              <w:ind w:left="0" w:leftChars="0" w:firstLine="0" w:firstLineChars="0"/>
              <w:jc w:val="both"/>
              <w:textAlignment w:val="auto"/>
              <w:rPr>
                <w:rFonts w:hint="default" w:ascii="Times New Roman" w:hAnsi="Times New Roman" w:eastAsia="宋体" w:cs="Times New Roman"/>
                <w:b w:val="0"/>
                <w:bCs w:val="0"/>
                <w:spacing w:val="0"/>
                <w:w w:val="100"/>
                <w:sz w:val="21"/>
                <w:szCs w:val="21"/>
                <w:lang w:val="en-US" w:eastAsia="zh-CN"/>
              </w:rPr>
            </w:pPr>
            <w:r>
              <w:rPr>
                <w:rFonts w:hint="default" w:ascii="Times New Roman" w:hAnsi="Times New Roman" w:eastAsia="宋体" w:cs="Times New Roman"/>
                <w:b w:val="0"/>
                <w:bCs w:val="0"/>
                <w:spacing w:val="0"/>
                <w:w w:val="100"/>
                <w:sz w:val="21"/>
                <w:szCs w:val="21"/>
                <w:lang w:val="en-US" w:eastAsia="zh-CN"/>
              </w:rPr>
              <w:t>a.说明获得教学成果奖或教学能力大赛奖等。</w:t>
            </w:r>
          </w:p>
          <w:p>
            <w:pPr>
              <w:widowControl w:val="0"/>
              <w:numPr>
                <w:ilvl w:val="0"/>
                <w:numId w:val="0"/>
              </w:numPr>
              <w:wordWrap/>
              <w:adjustRightInd/>
              <w:snapToGrid/>
              <w:spacing w:line="400" w:lineRule="exact"/>
              <w:ind w:left="0" w:leftChars="0" w:firstLine="0" w:firstLineChars="0"/>
              <w:jc w:val="both"/>
              <w:textAlignment w:val="auto"/>
              <w:rPr>
                <w:rFonts w:hint="default" w:ascii="Times New Roman" w:hAnsi="Times New Roman" w:eastAsia="宋体" w:cs="Times New Roman"/>
                <w:b w:val="0"/>
                <w:bCs w:val="0"/>
                <w:spacing w:val="0"/>
                <w:w w:val="100"/>
                <w:sz w:val="21"/>
                <w:szCs w:val="21"/>
                <w:lang w:val="en-US" w:eastAsia="zh-CN"/>
              </w:rPr>
            </w:pPr>
            <w:r>
              <w:rPr>
                <w:rFonts w:hint="default" w:ascii="Times New Roman" w:hAnsi="Times New Roman" w:eastAsia="宋体" w:cs="Times New Roman"/>
                <w:b w:val="0"/>
                <w:bCs w:val="0"/>
                <w:spacing w:val="0"/>
                <w:w w:val="100"/>
                <w:sz w:val="21"/>
                <w:szCs w:val="21"/>
                <w:lang w:val="en-US" w:eastAsia="zh-CN"/>
              </w:rPr>
              <w:t>b.说明创新成果价值，包括先进性、独创性、可推广性经验等。</w:t>
            </w:r>
          </w:p>
        </w:tc>
        <w:tc>
          <w:tcPr>
            <w:tcW w:w="134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3" w:type="dxa"/>
            <w:vMerge w:val="continue"/>
            <w:vAlign w:val="top"/>
          </w:tcPr>
          <w:p>
            <w:pPr>
              <w:widowControl w:val="0"/>
              <w:wordWrap/>
              <w:adjustRightInd/>
              <w:snapToGrid/>
              <w:spacing w:line="40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1310" w:type="dxa"/>
            <w:vMerge w:val="continue"/>
            <w:vAlign w:val="top"/>
          </w:tcPr>
          <w:p>
            <w:pPr>
              <w:widowControl w:val="0"/>
              <w:wordWrap/>
              <w:adjustRightInd/>
              <w:snapToGrid/>
              <w:spacing w:line="400" w:lineRule="exact"/>
              <w:jc w:val="center"/>
              <w:textAlignment w:val="auto"/>
              <w:rPr>
                <w:rFonts w:hint="default" w:ascii="Times New Roman" w:hAnsi="Times New Roman" w:eastAsia="宋体" w:cs="Times New Roman"/>
                <w:spacing w:val="0"/>
                <w:w w:val="100"/>
                <w:sz w:val="21"/>
                <w:szCs w:val="21"/>
                <w:lang w:val="en-US" w:eastAsia="zh-CN"/>
              </w:rPr>
            </w:pPr>
          </w:p>
        </w:tc>
        <w:tc>
          <w:tcPr>
            <w:tcW w:w="1710" w:type="dxa"/>
            <w:vAlign w:val="center"/>
          </w:tcPr>
          <w:p>
            <w:pPr>
              <w:widowControl w:val="0"/>
              <w:wordWrap/>
              <w:adjustRightInd/>
              <w:snapToGrid/>
              <w:spacing w:line="400" w:lineRule="exact"/>
              <w:jc w:val="center"/>
              <w:textAlignment w:val="auto"/>
              <w:rPr>
                <w:rFonts w:hint="default" w:ascii="Times New Roman" w:hAnsi="Times New Roman" w:eastAsia="宋体" w:cs="Times New Roman"/>
                <w:spacing w:val="0"/>
                <w:w w:val="100"/>
                <w:sz w:val="21"/>
                <w:szCs w:val="21"/>
                <w:highlight w:val="none"/>
                <w:lang w:val="en-US" w:eastAsia="zh-CN"/>
              </w:rPr>
            </w:pPr>
            <w:r>
              <w:rPr>
                <w:rFonts w:hint="default" w:ascii="Times New Roman" w:hAnsi="Times New Roman" w:eastAsia="宋体" w:cs="Times New Roman"/>
                <w:spacing w:val="0"/>
                <w:w w:val="100"/>
                <w:sz w:val="21"/>
                <w:szCs w:val="21"/>
                <w:highlight w:val="none"/>
                <w:lang w:val="en-US" w:eastAsia="zh-CN"/>
              </w:rPr>
              <w:t>5.3社会认可</w:t>
            </w:r>
          </w:p>
        </w:tc>
        <w:tc>
          <w:tcPr>
            <w:tcW w:w="10054" w:type="dxa"/>
            <w:vAlign w:val="top"/>
          </w:tcPr>
          <w:p>
            <w:pPr>
              <w:widowControl w:val="0"/>
              <w:numPr>
                <w:ilvl w:val="0"/>
                <w:numId w:val="0"/>
              </w:numPr>
              <w:wordWrap/>
              <w:adjustRightInd/>
              <w:snapToGrid/>
              <w:spacing w:line="400" w:lineRule="exact"/>
              <w:ind w:left="0" w:leftChars="0" w:firstLine="0" w:firstLineChars="0"/>
              <w:jc w:val="both"/>
              <w:textAlignment w:val="auto"/>
              <w:rPr>
                <w:rFonts w:hint="default" w:ascii="Times New Roman" w:hAnsi="Times New Roman" w:eastAsia="宋体" w:cs="Times New Roman"/>
                <w:b w:val="0"/>
                <w:bCs w:val="0"/>
                <w:spacing w:val="0"/>
                <w:w w:val="100"/>
                <w:sz w:val="21"/>
                <w:szCs w:val="21"/>
                <w:lang w:val="en-US" w:eastAsia="zh-CN"/>
              </w:rPr>
            </w:pPr>
            <w:r>
              <w:rPr>
                <w:rFonts w:hint="default" w:ascii="Times New Roman" w:hAnsi="Times New Roman" w:eastAsia="宋体" w:cs="Times New Roman"/>
                <w:b w:val="0"/>
                <w:bCs w:val="0"/>
                <w:spacing w:val="0"/>
                <w:w w:val="100"/>
                <w:sz w:val="21"/>
                <w:szCs w:val="21"/>
                <w:lang w:val="en-US" w:eastAsia="zh-CN"/>
              </w:rPr>
              <w:t>a.说明学校文化示范影响、特色专业情况。</w:t>
            </w:r>
          </w:p>
          <w:p>
            <w:pPr>
              <w:widowControl w:val="0"/>
              <w:numPr>
                <w:ilvl w:val="0"/>
                <w:numId w:val="0"/>
              </w:numPr>
              <w:wordWrap/>
              <w:adjustRightInd/>
              <w:snapToGrid/>
              <w:spacing w:line="400" w:lineRule="exact"/>
              <w:ind w:left="0" w:leftChars="0" w:firstLine="0" w:firstLineChars="0"/>
              <w:jc w:val="both"/>
              <w:textAlignment w:val="auto"/>
              <w:rPr>
                <w:rFonts w:hint="default" w:ascii="Times New Roman" w:hAnsi="Times New Roman" w:eastAsia="宋体" w:cs="Times New Roman"/>
                <w:b w:val="0"/>
                <w:bCs w:val="0"/>
                <w:spacing w:val="0"/>
                <w:w w:val="100"/>
                <w:sz w:val="21"/>
                <w:szCs w:val="21"/>
                <w:lang w:val="en-US" w:eastAsia="zh-CN"/>
              </w:rPr>
            </w:pPr>
            <w:r>
              <w:rPr>
                <w:rFonts w:hint="default" w:ascii="Times New Roman" w:hAnsi="Times New Roman" w:eastAsia="宋体" w:cs="Times New Roman"/>
                <w:b w:val="0"/>
                <w:bCs w:val="0"/>
                <w:spacing w:val="0"/>
                <w:w w:val="100"/>
                <w:sz w:val="21"/>
                <w:szCs w:val="21"/>
                <w:lang w:val="en-US" w:eastAsia="zh-CN"/>
              </w:rPr>
              <w:t>b.说明校企合作、产教融合、工学结合及实训培训（1+X证书制度）情况。</w:t>
            </w:r>
          </w:p>
        </w:tc>
        <w:tc>
          <w:tcPr>
            <w:tcW w:w="134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73" w:type="dxa"/>
            <w:vMerge w:val="continue"/>
            <w:vAlign w:val="top"/>
          </w:tcPr>
          <w:p>
            <w:pPr>
              <w:widowControl w:val="0"/>
              <w:wordWrap/>
              <w:adjustRightInd/>
              <w:snapToGrid/>
              <w:spacing w:line="40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1310" w:type="dxa"/>
            <w:vMerge w:val="continue"/>
            <w:vAlign w:val="top"/>
          </w:tcPr>
          <w:p>
            <w:pPr>
              <w:widowControl w:val="0"/>
              <w:wordWrap/>
              <w:adjustRightInd/>
              <w:snapToGrid/>
              <w:spacing w:line="400" w:lineRule="exact"/>
              <w:jc w:val="center"/>
              <w:textAlignment w:val="auto"/>
              <w:rPr>
                <w:rFonts w:hint="default" w:ascii="Times New Roman" w:hAnsi="Times New Roman" w:eastAsia="宋体" w:cs="Times New Roman"/>
                <w:spacing w:val="0"/>
                <w:w w:val="100"/>
                <w:sz w:val="21"/>
                <w:szCs w:val="21"/>
                <w:lang w:val="en-US" w:eastAsia="zh-CN"/>
              </w:rPr>
            </w:pPr>
          </w:p>
        </w:tc>
        <w:tc>
          <w:tcPr>
            <w:tcW w:w="1710" w:type="dxa"/>
            <w:vAlign w:val="center"/>
          </w:tcPr>
          <w:p>
            <w:pPr>
              <w:widowControl w:val="0"/>
              <w:wordWrap/>
              <w:adjustRightInd/>
              <w:snapToGrid/>
              <w:spacing w:line="4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5.4社会效益</w:t>
            </w:r>
          </w:p>
        </w:tc>
        <w:tc>
          <w:tcPr>
            <w:tcW w:w="10054" w:type="dxa"/>
            <w:vAlign w:val="top"/>
          </w:tcPr>
          <w:p>
            <w:pPr>
              <w:widowControl w:val="0"/>
              <w:numPr>
                <w:ilvl w:val="0"/>
                <w:numId w:val="0"/>
              </w:numPr>
              <w:wordWrap/>
              <w:adjustRightInd/>
              <w:snapToGrid/>
              <w:spacing w:line="400" w:lineRule="exact"/>
              <w:ind w:left="0" w:leftChars="0" w:firstLine="0" w:firstLineChars="0"/>
              <w:jc w:val="both"/>
              <w:textAlignment w:val="auto"/>
              <w:rPr>
                <w:rFonts w:hint="default" w:ascii="Times New Roman" w:hAnsi="Times New Roman" w:eastAsia="宋体" w:cs="Times New Roman"/>
                <w:b w:val="0"/>
                <w:bCs w:val="0"/>
                <w:spacing w:val="0"/>
                <w:w w:val="100"/>
                <w:sz w:val="21"/>
                <w:szCs w:val="21"/>
                <w:lang w:val="en-US" w:eastAsia="zh-CN"/>
              </w:rPr>
            </w:pPr>
            <w:r>
              <w:rPr>
                <w:rFonts w:hint="default" w:ascii="Times New Roman" w:hAnsi="Times New Roman" w:eastAsia="宋体" w:cs="Times New Roman"/>
                <w:b w:val="0"/>
                <w:bCs w:val="0"/>
                <w:spacing w:val="0"/>
                <w:w w:val="100"/>
                <w:sz w:val="21"/>
                <w:szCs w:val="21"/>
                <w:lang w:val="en-US" w:eastAsia="zh-CN"/>
              </w:rPr>
              <w:t>a.说明带动本地区教育水平提升与服务经济社会发展。</w:t>
            </w:r>
          </w:p>
          <w:p>
            <w:pPr>
              <w:widowControl w:val="0"/>
              <w:numPr>
                <w:ilvl w:val="0"/>
                <w:numId w:val="0"/>
              </w:numPr>
              <w:wordWrap/>
              <w:adjustRightInd/>
              <w:snapToGrid/>
              <w:spacing w:line="400" w:lineRule="exact"/>
              <w:ind w:left="0" w:leftChars="0" w:firstLine="0" w:firstLineChars="0"/>
              <w:jc w:val="both"/>
              <w:textAlignment w:val="auto"/>
              <w:rPr>
                <w:rFonts w:hint="default" w:ascii="Times New Roman" w:hAnsi="Times New Roman" w:eastAsia="宋体" w:cs="Times New Roman"/>
                <w:b w:val="0"/>
                <w:bCs w:val="0"/>
                <w:spacing w:val="0"/>
                <w:w w:val="100"/>
                <w:sz w:val="21"/>
                <w:szCs w:val="21"/>
                <w:lang w:val="en-US" w:eastAsia="zh-CN"/>
              </w:rPr>
            </w:pPr>
            <w:r>
              <w:rPr>
                <w:rFonts w:hint="default" w:ascii="Times New Roman" w:hAnsi="Times New Roman" w:eastAsia="宋体" w:cs="Times New Roman"/>
                <w:b w:val="0"/>
                <w:bCs w:val="0"/>
                <w:spacing w:val="0"/>
                <w:w w:val="100"/>
                <w:sz w:val="21"/>
                <w:szCs w:val="21"/>
                <w:lang w:val="en-US" w:eastAsia="zh-CN"/>
              </w:rPr>
              <w:t>b.说明职业教育服务城市文明、城市创新、民生需求、产业发展以及促进义务教育“控辍保学”成效。</w:t>
            </w:r>
          </w:p>
          <w:p>
            <w:pPr>
              <w:widowControl w:val="0"/>
              <w:numPr>
                <w:ilvl w:val="0"/>
                <w:numId w:val="0"/>
              </w:numPr>
              <w:wordWrap/>
              <w:adjustRightInd/>
              <w:snapToGrid/>
              <w:spacing w:line="400" w:lineRule="exact"/>
              <w:ind w:left="0" w:leftChars="0" w:firstLine="0" w:firstLineChars="0"/>
              <w:jc w:val="both"/>
              <w:textAlignment w:val="auto"/>
              <w:rPr>
                <w:rFonts w:hint="default" w:ascii="Times New Roman" w:hAnsi="Times New Roman" w:eastAsia="宋体" w:cs="Times New Roman"/>
                <w:b w:val="0"/>
                <w:bCs w:val="0"/>
                <w:spacing w:val="0"/>
                <w:w w:val="100"/>
                <w:sz w:val="21"/>
                <w:szCs w:val="21"/>
                <w:lang w:val="en-US" w:eastAsia="zh-CN"/>
              </w:rPr>
            </w:pPr>
            <w:r>
              <w:rPr>
                <w:rFonts w:hint="default" w:ascii="Times New Roman" w:hAnsi="Times New Roman" w:eastAsia="宋体" w:cs="Times New Roman"/>
                <w:b w:val="0"/>
                <w:bCs w:val="0"/>
                <w:spacing w:val="0"/>
                <w:w w:val="100"/>
                <w:sz w:val="21"/>
                <w:szCs w:val="21"/>
                <w:lang w:val="en-US" w:eastAsia="zh-CN"/>
              </w:rPr>
              <w:t>c.获得荣誉情况。</w:t>
            </w:r>
          </w:p>
        </w:tc>
        <w:tc>
          <w:tcPr>
            <w:tcW w:w="134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47" w:type="dxa"/>
            <w:gridSpan w:val="4"/>
            <w:vAlign w:val="center"/>
          </w:tcPr>
          <w:p>
            <w:pPr>
              <w:widowControl w:val="0"/>
              <w:numPr>
                <w:ilvl w:val="0"/>
                <w:numId w:val="0"/>
              </w:numPr>
              <w:wordWrap/>
              <w:adjustRightInd/>
              <w:snapToGrid/>
              <w:spacing w:line="400" w:lineRule="exact"/>
              <w:ind w:leftChars="0"/>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合计</w:t>
            </w:r>
          </w:p>
        </w:tc>
        <w:tc>
          <w:tcPr>
            <w:tcW w:w="134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1000分</w:t>
            </w:r>
          </w:p>
        </w:tc>
      </w:tr>
    </w:tbl>
    <w:p>
      <w:pPr>
        <w:widowControl w:val="0"/>
        <w:wordWrap/>
        <w:adjustRightInd/>
        <w:snapToGrid/>
        <w:spacing w:line="500" w:lineRule="exact"/>
        <w:textAlignment w:val="auto"/>
        <w:rPr>
          <w:rFonts w:hint="eastAsia" w:ascii="宋体" w:hAnsi="宋体" w:eastAsia="宋体" w:cs="宋体"/>
          <w:spacing w:val="0"/>
          <w:w w:val="100"/>
          <w:sz w:val="24"/>
          <w:lang w:val="en-US"/>
        </w:rPr>
      </w:pPr>
      <w:r>
        <w:rPr>
          <w:rFonts w:hint="eastAsia" w:ascii="宋体" w:hAnsi="宋体" w:eastAsia="宋体" w:cs="宋体"/>
          <w:spacing w:val="0"/>
          <w:w w:val="100"/>
          <w:sz w:val="24"/>
          <w:szCs w:val="24"/>
          <w:lang w:val="en-US" w:eastAsia="zh-CN"/>
        </w:rPr>
        <w:t>注：本文件教育机构主要是指小学、初中和职业院校，简称学校。</w:t>
      </w:r>
    </w:p>
    <w:p>
      <w:pPr>
        <w:wordWrap/>
        <w:adjustRightInd/>
        <w:snapToGrid/>
        <w:spacing w:line="320" w:lineRule="exact"/>
        <w:textAlignment w:val="auto"/>
        <w:rPr>
          <w:rFonts w:hint="eastAsia" w:ascii="Times New Roman" w:hAnsi="Times New Roman" w:eastAsia="黑体" w:cs="黑体"/>
          <w:b w:val="0"/>
          <w:bCs w:val="0"/>
          <w:spacing w:val="0"/>
          <w:w w:val="100"/>
          <w:sz w:val="32"/>
          <w:szCs w:val="32"/>
        </w:rPr>
      </w:pPr>
    </w:p>
    <w:p>
      <w:pPr>
        <w:wordWrap/>
        <w:adjustRightInd/>
        <w:snapToGrid/>
        <w:spacing w:line="320" w:lineRule="exact"/>
        <w:textAlignment w:val="auto"/>
        <w:rPr>
          <w:rFonts w:hint="eastAsia" w:ascii="Times New Roman" w:hAnsi="Times New Roman" w:eastAsia="黑体" w:cs="黑体"/>
          <w:b w:val="0"/>
          <w:bCs w:val="0"/>
          <w:spacing w:val="0"/>
          <w:w w:val="100"/>
          <w:sz w:val="32"/>
          <w:szCs w:val="32"/>
        </w:rPr>
      </w:pPr>
    </w:p>
    <w:p>
      <w:pPr>
        <w:wordWrap/>
        <w:adjustRightInd/>
        <w:snapToGrid/>
        <w:spacing w:line="320" w:lineRule="exact"/>
        <w:textAlignment w:val="auto"/>
        <w:rPr>
          <w:rFonts w:hint="eastAsia" w:ascii="Times New Roman" w:hAnsi="Times New Roman" w:eastAsia="黑体" w:cs="黑体"/>
          <w:b w:val="0"/>
          <w:bCs w:val="0"/>
          <w:spacing w:val="0"/>
          <w:w w:val="100"/>
          <w:sz w:val="32"/>
          <w:szCs w:val="32"/>
        </w:rPr>
      </w:pPr>
    </w:p>
    <w:p>
      <w:pPr>
        <w:wordWrap/>
        <w:adjustRightInd/>
        <w:snapToGrid/>
        <w:spacing w:line="320" w:lineRule="exact"/>
        <w:textAlignment w:val="auto"/>
        <w:rPr>
          <w:rFonts w:hint="eastAsia" w:ascii="Times New Roman" w:hAnsi="Times New Roman" w:eastAsia="黑体" w:cs="黑体"/>
          <w:spacing w:val="0"/>
          <w:w w:val="100"/>
          <w:sz w:val="32"/>
          <w:szCs w:val="32"/>
          <w:lang w:val="en-US" w:eastAsia="zh-CN"/>
        </w:rPr>
      </w:pPr>
      <w:r>
        <w:rPr>
          <w:rFonts w:hint="eastAsia" w:ascii="Times New Roman" w:hAnsi="Times New Roman" w:eastAsia="黑体" w:cs="黑体"/>
          <w:b w:val="0"/>
          <w:bCs w:val="0"/>
          <w:spacing w:val="0"/>
          <w:w w:val="100"/>
          <w:sz w:val="32"/>
          <w:szCs w:val="32"/>
        </w:rPr>
        <w:t>附件</w:t>
      </w:r>
      <w:r>
        <w:rPr>
          <w:rFonts w:hint="eastAsia" w:ascii="Times New Roman" w:hAnsi="Times New Roman" w:eastAsia="黑体" w:cs="黑体"/>
          <w:b w:val="0"/>
          <w:bCs w:val="0"/>
          <w:spacing w:val="0"/>
          <w:w w:val="100"/>
          <w:sz w:val="32"/>
          <w:szCs w:val="32"/>
          <w:lang w:val="en-US" w:eastAsia="zh-CN"/>
        </w:rPr>
        <w:t>6</w:t>
      </w:r>
    </w:p>
    <w:p>
      <w:pPr>
        <w:widowControl w:val="0"/>
        <w:wordWrap/>
        <w:adjustRightInd/>
        <w:snapToGrid/>
        <w:spacing w:line="560" w:lineRule="exact"/>
        <w:jc w:val="center"/>
        <w:textAlignment w:val="auto"/>
        <w:rPr>
          <w:rFonts w:hint="default" w:ascii="Times New Roman" w:hAnsi="Times New Roman" w:eastAsia="方正小标宋简体" w:cs="方正小标宋简体"/>
          <w:spacing w:val="0"/>
          <w:w w:val="100"/>
          <w:sz w:val="44"/>
          <w:szCs w:val="44"/>
          <w:lang w:val="en-US" w:eastAsia="zh-CN"/>
        </w:rPr>
      </w:pPr>
      <w:r>
        <w:rPr>
          <w:rFonts w:hint="eastAsia" w:ascii="Times New Roman" w:hAnsi="Times New Roman" w:eastAsia="方正小标宋简体" w:cs="方正小标宋简体"/>
          <w:spacing w:val="0"/>
          <w:w w:val="100"/>
          <w:sz w:val="44"/>
          <w:szCs w:val="44"/>
          <w:lang w:val="en-US" w:eastAsia="zh-CN"/>
        </w:rPr>
        <w:t>广东省政府质量奖评分要点（一线班组）</w:t>
      </w:r>
    </w:p>
    <w:tbl>
      <w:tblPr>
        <w:tblStyle w:val="9"/>
        <w:tblW w:w="15189" w:type="dxa"/>
        <w:tblInd w:w="-2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1"/>
        <w:gridCol w:w="1200"/>
        <w:gridCol w:w="1960"/>
        <w:gridCol w:w="9945"/>
        <w:gridCol w:w="1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21" w:type="dxa"/>
            <w:vMerge w:val="restart"/>
            <w:vAlign w:val="center"/>
          </w:tcPr>
          <w:p>
            <w:pPr>
              <w:widowControl w:val="0"/>
              <w:wordWrap/>
              <w:adjustRightInd/>
              <w:snapToGrid/>
              <w:spacing w:line="300" w:lineRule="exact"/>
              <w:jc w:val="center"/>
              <w:textAlignment w:val="auto"/>
              <w:rPr>
                <w:rFonts w:hint="eastAsia" w:ascii="黑体" w:hAnsi="黑体" w:eastAsia="黑体" w:cs="黑体"/>
                <w:spacing w:val="0"/>
                <w:w w:val="100"/>
                <w:sz w:val="21"/>
                <w:szCs w:val="21"/>
                <w:lang w:val="en-US" w:eastAsia="zh-CN"/>
              </w:rPr>
            </w:pPr>
            <w:r>
              <w:rPr>
                <w:rFonts w:hint="eastAsia" w:ascii="黑体" w:hAnsi="黑体" w:eastAsia="黑体" w:cs="黑体"/>
                <w:spacing w:val="0"/>
                <w:w w:val="100"/>
                <w:sz w:val="21"/>
                <w:szCs w:val="21"/>
                <w:lang w:val="en-US" w:eastAsia="zh-CN"/>
              </w:rPr>
              <w:t>序号</w:t>
            </w:r>
          </w:p>
        </w:tc>
        <w:tc>
          <w:tcPr>
            <w:tcW w:w="3160" w:type="dxa"/>
            <w:gridSpan w:val="2"/>
            <w:vAlign w:val="center"/>
          </w:tcPr>
          <w:p>
            <w:pPr>
              <w:widowControl w:val="0"/>
              <w:wordWrap/>
              <w:adjustRightInd/>
              <w:snapToGrid/>
              <w:spacing w:line="300" w:lineRule="exact"/>
              <w:jc w:val="center"/>
              <w:textAlignment w:val="auto"/>
              <w:rPr>
                <w:rFonts w:hint="eastAsia" w:ascii="黑体" w:hAnsi="黑体" w:eastAsia="黑体" w:cs="黑体"/>
                <w:spacing w:val="0"/>
                <w:w w:val="100"/>
                <w:sz w:val="21"/>
                <w:szCs w:val="21"/>
                <w:lang w:val="en-US" w:eastAsia="zh-CN"/>
              </w:rPr>
            </w:pPr>
            <w:r>
              <w:rPr>
                <w:rFonts w:hint="eastAsia" w:ascii="黑体" w:hAnsi="黑体" w:eastAsia="黑体" w:cs="黑体"/>
                <w:spacing w:val="0"/>
                <w:w w:val="100"/>
                <w:sz w:val="21"/>
                <w:szCs w:val="21"/>
                <w:lang w:val="en-US" w:eastAsia="zh-CN"/>
              </w:rPr>
              <w:t>评价指标</w:t>
            </w:r>
          </w:p>
        </w:tc>
        <w:tc>
          <w:tcPr>
            <w:tcW w:w="9945" w:type="dxa"/>
            <w:vMerge w:val="restart"/>
            <w:vAlign w:val="center"/>
          </w:tcPr>
          <w:p>
            <w:pPr>
              <w:widowControl w:val="0"/>
              <w:wordWrap/>
              <w:adjustRightInd/>
              <w:snapToGrid/>
              <w:spacing w:line="300" w:lineRule="exact"/>
              <w:jc w:val="center"/>
              <w:textAlignment w:val="auto"/>
              <w:rPr>
                <w:rFonts w:hint="eastAsia" w:ascii="黑体" w:hAnsi="黑体" w:eastAsia="黑体" w:cs="黑体"/>
                <w:spacing w:val="0"/>
                <w:w w:val="100"/>
                <w:sz w:val="21"/>
                <w:szCs w:val="21"/>
                <w:lang w:val="en-US" w:eastAsia="zh-CN"/>
              </w:rPr>
            </w:pPr>
            <w:r>
              <w:rPr>
                <w:rFonts w:hint="eastAsia" w:ascii="黑体" w:hAnsi="黑体" w:eastAsia="黑体" w:cs="黑体"/>
                <w:spacing w:val="0"/>
                <w:w w:val="100"/>
                <w:sz w:val="21"/>
                <w:szCs w:val="21"/>
                <w:lang w:val="en-US" w:eastAsia="zh-CN"/>
              </w:rPr>
              <w:t>评价要点</w:t>
            </w:r>
          </w:p>
        </w:tc>
        <w:tc>
          <w:tcPr>
            <w:tcW w:w="1263" w:type="dxa"/>
            <w:vMerge w:val="restart"/>
            <w:vAlign w:val="center"/>
          </w:tcPr>
          <w:p>
            <w:pPr>
              <w:widowControl w:val="0"/>
              <w:wordWrap/>
              <w:adjustRightInd/>
              <w:snapToGrid/>
              <w:spacing w:line="300" w:lineRule="exact"/>
              <w:jc w:val="center"/>
              <w:textAlignment w:val="auto"/>
              <w:rPr>
                <w:rFonts w:hint="eastAsia" w:ascii="黑体" w:hAnsi="黑体" w:eastAsia="黑体" w:cs="黑体"/>
                <w:spacing w:val="0"/>
                <w:w w:val="100"/>
                <w:sz w:val="21"/>
                <w:szCs w:val="21"/>
                <w:lang w:val="en-US" w:eastAsia="zh-CN"/>
              </w:rPr>
            </w:pPr>
            <w:r>
              <w:rPr>
                <w:rFonts w:hint="eastAsia" w:ascii="黑体" w:hAnsi="黑体" w:eastAsia="黑体" w:cs="黑体"/>
                <w:spacing w:val="0"/>
                <w:w w:val="100"/>
                <w:sz w:val="21"/>
                <w:szCs w:val="21"/>
                <w:lang w:val="en-US" w:eastAsia="zh-CN"/>
              </w:rPr>
              <w:t>评分分值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21" w:type="dxa"/>
            <w:vMerge w:val="continue"/>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rPr>
            </w:pPr>
          </w:p>
        </w:tc>
        <w:tc>
          <w:tcPr>
            <w:tcW w:w="1200" w:type="dxa"/>
            <w:vAlign w:val="center"/>
          </w:tcPr>
          <w:p>
            <w:pPr>
              <w:widowControl w:val="0"/>
              <w:wordWrap/>
              <w:adjustRightInd/>
              <w:snapToGrid/>
              <w:spacing w:line="300" w:lineRule="exact"/>
              <w:jc w:val="center"/>
              <w:textAlignment w:val="auto"/>
              <w:rPr>
                <w:rFonts w:hint="eastAsia" w:ascii="黑体" w:hAnsi="黑体" w:eastAsia="黑体" w:cs="黑体"/>
                <w:spacing w:val="0"/>
                <w:w w:val="100"/>
                <w:sz w:val="21"/>
                <w:szCs w:val="21"/>
                <w:lang w:val="en-US" w:eastAsia="zh-CN"/>
              </w:rPr>
            </w:pPr>
            <w:r>
              <w:rPr>
                <w:rFonts w:hint="eastAsia" w:ascii="黑体" w:hAnsi="黑体" w:eastAsia="黑体" w:cs="黑体"/>
                <w:spacing w:val="0"/>
                <w:w w:val="100"/>
                <w:sz w:val="21"/>
                <w:szCs w:val="21"/>
                <w:lang w:val="en-US" w:eastAsia="zh-CN"/>
              </w:rPr>
              <w:t>一级</w:t>
            </w:r>
          </w:p>
        </w:tc>
        <w:tc>
          <w:tcPr>
            <w:tcW w:w="1960" w:type="dxa"/>
            <w:vAlign w:val="center"/>
          </w:tcPr>
          <w:p>
            <w:pPr>
              <w:widowControl w:val="0"/>
              <w:wordWrap/>
              <w:adjustRightInd/>
              <w:snapToGrid/>
              <w:spacing w:line="300" w:lineRule="exact"/>
              <w:jc w:val="center"/>
              <w:textAlignment w:val="auto"/>
              <w:rPr>
                <w:rFonts w:hint="eastAsia" w:ascii="黑体" w:hAnsi="黑体" w:eastAsia="黑体" w:cs="黑体"/>
                <w:spacing w:val="0"/>
                <w:w w:val="100"/>
                <w:sz w:val="21"/>
                <w:szCs w:val="21"/>
                <w:lang w:val="en-US" w:eastAsia="zh-CN"/>
              </w:rPr>
            </w:pPr>
            <w:r>
              <w:rPr>
                <w:rFonts w:hint="eastAsia" w:ascii="黑体" w:hAnsi="黑体" w:eastAsia="黑体" w:cs="黑体"/>
                <w:spacing w:val="0"/>
                <w:w w:val="100"/>
                <w:sz w:val="21"/>
                <w:szCs w:val="21"/>
                <w:lang w:val="en-US" w:eastAsia="zh-CN"/>
              </w:rPr>
              <w:t>二级</w:t>
            </w:r>
          </w:p>
        </w:tc>
        <w:tc>
          <w:tcPr>
            <w:tcW w:w="9945" w:type="dxa"/>
            <w:vMerge w:val="continue"/>
            <w:vAlign w:val="top"/>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p>
        </w:tc>
        <w:tc>
          <w:tcPr>
            <w:tcW w:w="1263" w:type="dxa"/>
            <w:vMerge w:val="continue"/>
            <w:vAlign w:val="top"/>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21" w:type="dxa"/>
            <w:vMerge w:val="restart"/>
            <w:vAlign w:val="center"/>
          </w:tcPr>
          <w:p>
            <w:pPr>
              <w:widowControl w:val="0"/>
              <w:numPr>
                <w:ilvl w:val="0"/>
                <w:numId w:val="0"/>
              </w:numPr>
              <w:wordWrap/>
              <w:adjustRightInd/>
              <w:snapToGrid/>
              <w:spacing w:line="300" w:lineRule="exact"/>
              <w:ind w:left="0" w:leftChars="0" w:firstLine="0" w:firstLineChars="0"/>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1</w:t>
            </w:r>
          </w:p>
        </w:tc>
        <w:tc>
          <w:tcPr>
            <w:tcW w:w="1200" w:type="dxa"/>
            <w:vMerge w:val="restart"/>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班组</w:t>
            </w:r>
          </w:p>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建设</w:t>
            </w:r>
          </w:p>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150分</w:t>
            </w:r>
          </w:p>
        </w:tc>
        <w:tc>
          <w:tcPr>
            <w:tcW w:w="1960"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1.1组织机构</w:t>
            </w:r>
          </w:p>
        </w:tc>
        <w:tc>
          <w:tcPr>
            <w:tcW w:w="9945" w:type="dxa"/>
            <w:vAlign w:val="top"/>
          </w:tcPr>
          <w:p>
            <w:pPr>
              <w:widowControl w:val="0"/>
              <w:numPr>
                <w:ilvl w:val="0"/>
                <w:numId w:val="93"/>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如何根据组织管理方式及人力资源状况，合理设置班组、岗位，加强班组建设与管理，以提高班组的执行力。</w:t>
            </w:r>
          </w:p>
          <w:p>
            <w:pPr>
              <w:widowControl w:val="0"/>
              <w:numPr>
                <w:ilvl w:val="0"/>
                <w:numId w:val="93"/>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如何定期对班组建设与绩效情况进行评价考核及奖励。</w:t>
            </w:r>
          </w:p>
        </w:tc>
        <w:tc>
          <w:tcPr>
            <w:tcW w:w="126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21" w:type="dxa"/>
            <w:vMerge w:val="continue"/>
            <w:vAlign w:val="top"/>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p>
        </w:tc>
        <w:tc>
          <w:tcPr>
            <w:tcW w:w="1200" w:type="dxa"/>
            <w:vMerge w:val="continue"/>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p>
        </w:tc>
        <w:tc>
          <w:tcPr>
            <w:tcW w:w="1960"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1.2文化理念</w:t>
            </w:r>
          </w:p>
        </w:tc>
        <w:tc>
          <w:tcPr>
            <w:tcW w:w="9945" w:type="dxa"/>
            <w:vAlign w:val="top"/>
          </w:tcPr>
          <w:p>
            <w:pPr>
              <w:widowControl w:val="0"/>
              <w:numPr>
                <w:ilvl w:val="0"/>
                <w:numId w:val="94"/>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如何清晰界定班组使命，培育班组特色文化，并结合班组实际，提出班组愿景和宣传口号，开展班组文化建设活动。</w:t>
            </w:r>
          </w:p>
          <w:p>
            <w:pPr>
              <w:widowControl w:val="0"/>
              <w:numPr>
                <w:ilvl w:val="0"/>
                <w:numId w:val="94"/>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如何营造风清气正、积极进取、健康和谐的良好班风，以增强班组使命感和责任感。</w:t>
            </w:r>
          </w:p>
          <w:p>
            <w:pPr>
              <w:widowControl w:val="0"/>
              <w:numPr>
                <w:ilvl w:val="0"/>
                <w:numId w:val="94"/>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如何将班组文化贯穿到班组活动中，调动成员的积极性、主动性和创造力，提升班组的凝聚力。</w:t>
            </w:r>
          </w:p>
        </w:tc>
        <w:tc>
          <w:tcPr>
            <w:tcW w:w="126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21" w:type="dxa"/>
            <w:vMerge w:val="continue"/>
            <w:vAlign w:val="top"/>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rPr>
            </w:pPr>
          </w:p>
        </w:tc>
        <w:tc>
          <w:tcPr>
            <w:tcW w:w="1200" w:type="dxa"/>
            <w:vMerge w:val="continue"/>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p>
        </w:tc>
        <w:tc>
          <w:tcPr>
            <w:tcW w:w="1960"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1.3基础管理</w:t>
            </w:r>
          </w:p>
        </w:tc>
        <w:tc>
          <w:tcPr>
            <w:tcW w:w="9945" w:type="dxa"/>
            <w:vAlign w:val="top"/>
          </w:tcPr>
          <w:p>
            <w:pPr>
              <w:widowControl w:val="0"/>
              <w:numPr>
                <w:ilvl w:val="0"/>
                <w:numId w:val="95"/>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如何加强班组基础管理工作，包括建立及实施基础性管理制度和标准，如《班组团队管理制度》《班组例会管理制度》《班组现场管理制度》《班组质量管理制度》《班组创新管理制度》《班组学习管理制度》《班组计划管理制度》《班组绩效管理制度》等。</w:t>
            </w:r>
          </w:p>
          <w:p>
            <w:pPr>
              <w:widowControl w:val="0"/>
              <w:numPr>
                <w:ilvl w:val="0"/>
                <w:numId w:val="95"/>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kern w:val="2"/>
                <w:sz w:val="21"/>
                <w:szCs w:val="21"/>
                <w:lang w:val="en-US" w:eastAsia="zh-CN" w:bidi="ar-SA"/>
              </w:rPr>
              <w:t>如何确保班组成员熟练掌握并应用与班组工作相关的信息系统，遵守组织信息安全及保密管理的各项要求。</w:t>
            </w:r>
          </w:p>
        </w:tc>
        <w:tc>
          <w:tcPr>
            <w:tcW w:w="126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21" w:type="dxa"/>
            <w:vMerge w:val="restart"/>
            <w:vAlign w:val="center"/>
          </w:tcPr>
          <w:p>
            <w:pPr>
              <w:widowControl w:val="0"/>
              <w:numPr>
                <w:ilvl w:val="0"/>
                <w:numId w:val="0"/>
              </w:numPr>
              <w:wordWrap/>
              <w:adjustRightInd/>
              <w:snapToGrid/>
              <w:spacing w:line="300" w:lineRule="exact"/>
              <w:ind w:left="0" w:leftChars="0" w:firstLine="0" w:firstLineChars="0"/>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2</w:t>
            </w:r>
          </w:p>
        </w:tc>
        <w:tc>
          <w:tcPr>
            <w:tcW w:w="1200" w:type="dxa"/>
            <w:vMerge w:val="restart"/>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质量</w:t>
            </w:r>
          </w:p>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350分</w:t>
            </w:r>
          </w:p>
        </w:tc>
        <w:tc>
          <w:tcPr>
            <w:tcW w:w="1960"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2.1质量安全</w:t>
            </w:r>
          </w:p>
        </w:tc>
        <w:tc>
          <w:tcPr>
            <w:tcW w:w="9945" w:type="dxa"/>
            <w:vAlign w:val="top"/>
          </w:tcPr>
          <w:p>
            <w:pPr>
              <w:widowControl w:val="0"/>
              <w:numPr>
                <w:ilvl w:val="0"/>
                <w:numId w:val="96"/>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如何增强班组质量安全意识，履行质量安全责任，落实质量安全制度，</w:t>
            </w:r>
            <w:r>
              <w:rPr>
                <w:rFonts w:hint="default" w:ascii="Times New Roman" w:hAnsi="Times New Roman" w:eastAsia="宋体" w:cs="Times New Roman"/>
                <w:spacing w:val="0"/>
                <w:w w:val="100"/>
                <w:kern w:val="2"/>
                <w:sz w:val="21"/>
                <w:szCs w:val="21"/>
                <w:lang w:val="en-US" w:eastAsia="zh-CN" w:bidi="ar-SA"/>
              </w:rPr>
              <w:t>确保</w:t>
            </w:r>
            <w:r>
              <w:rPr>
                <w:rFonts w:hint="default" w:ascii="Times New Roman" w:hAnsi="Times New Roman" w:eastAsia="宋体" w:cs="Times New Roman"/>
                <w:spacing w:val="0"/>
                <w:w w:val="100"/>
                <w:sz w:val="21"/>
                <w:szCs w:val="21"/>
                <w:lang w:val="en-US" w:eastAsia="zh-CN"/>
              </w:rPr>
              <w:t>重点安全风险得到有效管控。</w:t>
            </w:r>
          </w:p>
          <w:p>
            <w:pPr>
              <w:widowControl w:val="0"/>
              <w:numPr>
                <w:ilvl w:val="0"/>
                <w:numId w:val="96"/>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如何强化质量安全风险管理，识别每项作业、每台设备、设施可能存在的风险点，并</w:t>
            </w:r>
            <w:r>
              <w:rPr>
                <w:rFonts w:hint="default" w:ascii="Times New Roman" w:hAnsi="Times New Roman" w:eastAsia="宋体" w:cs="Times New Roman"/>
                <w:spacing w:val="0"/>
                <w:w w:val="100"/>
                <w:sz w:val="21"/>
                <w:szCs w:val="21"/>
              </w:rPr>
              <w:t>根据每个人的工作经验、性格特征、日常安全行为等</w:t>
            </w:r>
            <w:r>
              <w:rPr>
                <w:rFonts w:hint="default" w:ascii="Times New Roman" w:hAnsi="Times New Roman" w:eastAsia="宋体" w:cs="Times New Roman"/>
                <w:spacing w:val="0"/>
                <w:w w:val="100"/>
                <w:sz w:val="21"/>
                <w:szCs w:val="21"/>
                <w:lang w:val="en-US" w:eastAsia="zh-CN"/>
              </w:rPr>
              <w:t>制定与实施相关措施，以免产生具有重大影响的质量安全事故。</w:t>
            </w:r>
          </w:p>
          <w:p>
            <w:pPr>
              <w:widowControl w:val="0"/>
              <w:numPr>
                <w:ilvl w:val="0"/>
                <w:numId w:val="96"/>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如何</w:t>
            </w:r>
            <w:r>
              <w:rPr>
                <w:rFonts w:hint="default" w:ascii="Times New Roman" w:hAnsi="Times New Roman" w:eastAsia="宋体" w:cs="Times New Roman"/>
                <w:spacing w:val="0"/>
                <w:w w:val="100"/>
                <w:sz w:val="21"/>
                <w:szCs w:val="21"/>
              </w:rPr>
              <w:t>开展</w:t>
            </w:r>
            <w:r>
              <w:rPr>
                <w:rFonts w:hint="default" w:ascii="Times New Roman" w:hAnsi="Times New Roman" w:eastAsia="宋体" w:cs="Times New Roman"/>
                <w:spacing w:val="0"/>
                <w:w w:val="100"/>
                <w:sz w:val="21"/>
                <w:szCs w:val="21"/>
                <w:lang w:val="en-US" w:eastAsia="zh-CN"/>
              </w:rPr>
              <w:t>质量</w:t>
            </w:r>
            <w:r>
              <w:rPr>
                <w:rFonts w:hint="default" w:ascii="Times New Roman" w:hAnsi="Times New Roman" w:eastAsia="宋体" w:cs="Times New Roman"/>
                <w:spacing w:val="0"/>
                <w:w w:val="100"/>
                <w:sz w:val="21"/>
                <w:szCs w:val="21"/>
              </w:rPr>
              <w:t>安全生产检查和隐患排查、风险源辨别、安全自评等活动，及时发现并消除隐患</w:t>
            </w:r>
            <w:r>
              <w:rPr>
                <w:rFonts w:hint="default" w:ascii="Times New Roman" w:hAnsi="Times New Roman" w:eastAsia="宋体" w:cs="Times New Roman"/>
                <w:spacing w:val="0"/>
                <w:w w:val="100"/>
                <w:sz w:val="21"/>
                <w:szCs w:val="21"/>
                <w:lang w:eastAsia="zh-CN"/>
              </w:rPr>
              <w:t>。</w:t>
            </w:r>
          </w:p>
        </w:tc>
        <w:tc>
          <w:tcPr>
            <w:tcW w:w="126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90分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21" w:type="dxa"/>
            <w:vMerge w:val="continue"/>
            <w:vAlign w:val="center"/>
          </w:tcPr>
          <w:p>
            <w:pPr>
              <w:widowControl w:val="0"/>
              <w:wordWrap/>
              <w:adjustRightInd/>
              <w:snapToGrid/>
              <w:spacing w:line="300" w:lineRule="exact"/>
              <w:ind w:left="425" w:leftChars="0" w:hanging="425" w:firstLineChars="0"/>
              <w:jc w:val="center"/>
              <w:textAlignment w:val="auto"/>
              <w:rPr>
                <w:rFonts w:hint="default" w:ascii="Times New Roman" w:hAnsi="Times New Roman" w:eastAsia="宋体" w:cs="Times New Roman"/>
                <w:spacing w:val="0"/>
                <w:w w:val="100"/>
                <w:sz w:val="21"/>
                <w:szCs w:val="21"/>
                <w:lang w:val="en-US" w:eastAsia="zh-CN"/>
              </w:rPr>
            </w:pPr>
          </w:p>
        </w:tc>
        <w:tc>
          <w:tcPr>
            <w:tcW w:w="1200" w:type="dxa"/>
            <w:vMerge w:val="continue"/>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p>
        </w:tc>
        <w:tc>
          <w:tcPr>
            <w:tcW w:w="1960"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2.2质量管理</w:t>
            </w:r>
          </w:p>
        </w:tc>
        <w:tc>
          <w:tcPr>
            <w:tcW w:w="9945" w:type="dxa"/>
            <w:vAlign w:val="top"/>
          </w:tcPr>
          <w:p>
            <w:pPr>
              <w:widowControl w:val="0"/>
              <w:numPr>
                <w:ilvl w:val="0"/>
                <w:numId w:val="97"/>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如何加强班组标准化建设，使其各司其职、各行其责，进行标准化、规范化管理，以提升班组运转效率和工作质量。</w:t>
            </w:r>
          </w:p>
          <w:p>
            <w:pPr>
              <w:widowControl w:val="0"/>
              <w:numPr>
                <w:ilvl w:val="0"/>
                <w:numId w:val="97"/>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如何利用新技术、新工艺和新方法解决关键及重点质量问题。</w:t>
            </w:r>
          </w:p>
          <w:p>
            <w:pPr>
              <w:widowControl w:val="0"/>
              <w:numPr>
                <w:ilvl w:val="0"/>
                <w:numId w:val="97"/>
              </w:numPr>
              <w:wordWrap/>
              <w:adjustRightInd/>
              <w:snapToGrid/>
              <w:spacing w:line="300" w:lineRule="exact"/>
              <w:ind w:left="205" w:leftChars="0" w:hanging="20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如何推动跨班组、跨专业之间的质量信息交流和质量改进，实现质量协同。</w:t>
            </w:r>
          </w:p>
          <w:p>
            <w:pPr>
              <w:widowControl w:val="0"/>
              <w:numPr>
                <w:ilvl w:val="0"/>
                <w:numId w:val="97"/>
              </w:numPr>
              <w:wordWrap/>
              <w:adjustRightInd/>
              <w:snapToGrid/>
              <w:spacing w:line="300" w:lineRule="exact"/>
              <w:ind w:left="205" w:leftChars="0" w:hanging="205" w:firstLineChars="0"/>
              <w:jc w:val="both"/>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kern w:val="2"/>
                <w:sz w:val="21"/>
                <w:szCs w:val="21"/>
                <w:lang w:val="en-US" w:eastAsia="zh-CN" w:bidi="ar-SA"/>
              </w:rPr>
              <w:t>如何强化成本意识和提质增效的工作意识，积极进行成本管控与节能减排。</w:t>
            </w:r>
          </w:p>
        </w:tc>
        <w:tc>
          <w:tcPr>
            <w:tcW w:w="126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85分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21" w:type="dxa"/>
            <w:vMerge w:val="continue"/>
            <w:vAlign w:val="center"/>
          </w:tcPr>
          <w:p>
            <w:pPr>
              <w:widowControl w:val="0"/>
              <w:wordWrap/>
              <w:adjustRightInd/>
              <w:snapToGrid/>
              <w:spacing w:line="300" w:lineRule="exact"/>
              <w:ind w:left="425" w:leftChars="0" w:hanging="425" w:firstLineChars="0"/>
              <w:jc w:val="center"/>
              <w:textAlignment w:val="auto"/>
              <w:rPr>
                <w:rFonts w:hint="default" w:ascii="Times New Roman" w:hAnsi="Times New Roman" w:eastAsia="宋体" w:cs="Times New Roman"/>
                <w:spacing w:val="0"/>
                <w:w w:val="100"/>
                <w:sz w:val="21"/>
                <w:szCs w:val="21"/>
                <w:lang w:val="en-US" w:eastAsia="zh-CN"/>
              </w:rPr>
            </w:pPr>
          </w:p>
        </w:tc>
        <w:tc>
          <w:tcPr>
            <w:tcW w:w="1200" w:type="dxa"/>
            <w:vMerge w:val="continue"/>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p>
        </w:tc>
        <w:tc>
          <w:tcPr>
            <w:tcW w:w="1960"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2.3教育培训</w:t>
            </w:r>
          </w:p>
        </w:tc>
        <w:tc>
          <w:tcPr>
            <w:tcW w:w="9945" w:type="dxa"/>
            <w:vAlign w:val="top"/>
          </w:tcPr>
          <w:p>
            <w:pPr>
              <w:widowControl w:val="0"/>
              <w:numPr>
                <w:ilvl w:val="0"/>
                <w:numId w:val="98"/>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如何开展创建学习型组织、争做知识型员工等创争活动，积极参加线上线下的学习，营造浓厚的学习氛围。</w:t>
            </w:r>
          </w:p>
          <w:p>
            <w:pPr>
              <w:widowControl w:val="0"/>
              <w:numPr>
                <w:ilvl w:val="0"/>
                <w:numId w:val="98"/>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如何加强专业管理信息系统的培训，使班组成员掌握并熟练应用生产管理、办公自动化等相关系统，提高班组全</w:t>
            </w:r>
            <w:r>
              <w:rPr>
                <w:rFonts w:hint="default" w:ascii="Times New Roman" w:hAnsi="Times New Roman" w:eastAsia="宋体" w:cs="Times New Roman"/>
                <w:color w:val="000000"/>
                <w:spacing w:val="0"/>
                <w:w w:val="100"/>
                <w:sz w:val="21"/>
                <w:szCs w:val="21"/>
                <w:lang w:val="en-US" w:eastAsia="zh-CN"/>
              </w:rPr>
              <w:t>员信息化</w:t>
            </w:r>
            <w:r>
              <w:rPr>
                <w:rFonts w:hint="default" w:ascii="Times New Roman" w:hAnsi="Times New Roman" w:eastAsia="宋体" w:cs="Times New Roman"/>
                <w:color w:val="000000"/>
                <w:spacing w:val="0"/>
                <w:w w:val="100"/>
                <w:sz w:val="21"/>
                <w:szCs w:val="21"/>
              </w:rPr>
              <w:t>及数字化</w:t>
            </w:r>
            <w:r>
              <w:rPr>
                <w:rFonts w:hint="default" w:ascii="Times New Roman" w:hAnsi="Times New Roman" w:eastAsia="宋体" w:cs="Times New Roman"/>
                <w:spacing w:val="0"/>
                <w:w w:val="100"/>
                <w:sz w:val="21"/>
                <w:szCs w:val="21"/>
                <w:lang w:val="en-US" w:eastAsia="zh-CN"/>
              </w:rPr>
              <w:t>应用水平。</w:t>
            </w:r>
          </w:p>
          <w:p>
            <w:pPr>
              <w:widowControl w:val="0"/>
              <w:numPr>
                <w:ilvl w:val="0"/>
                <w:numId w:val="98"/>
              </w:numPr>
              <w:wordWrap/>
              <w:adjustRightInd/>
              <w:snapToGrid/>
              <w:spacing w:line="300" w:lineRule="exact"/>
              <w:ind w:left="225" w:leftChars="0" w:hanging="225" w:firstLineChars="0"/>
              <w:jc w:val="both"/>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如何提升班组技能水平和员工素质，包括开展职业技术资格认定、质量技能教育和培训、师带徒、技术讲课、应急演练、实操（实物）与仿真培训等。</w:t>
            </w:r>
          </w:p>
        </w:tc>
        <w:tc>
          <w:tcPr>
            <w:tcW w:w="126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85分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21" w:type="dxa"/>
            <w:vMerge w:val="continue"/>
            <w:vAlign w:val="center"/>
          </w:tcPr>
          <w:p>
            <w:pPr>
              <w:widowControl w:val="0"/>
              <w:wordWrap/>
              <w:adjustRightInd/>
              <w:snapToGrid/>
              <w:spacing w:line="30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1200" w:type="dxa"/>
            <w:vMerge w:val="continue"/>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p>
        </w:tc>
        <w:tc>
          <w:tcPr>
            <w:tcW w:w="1960" w:type="dxa"/>
            <w:vAlign w:val="center"/>
          </w:tcPr>
          <w:p>
            <w:pPr>
              <w:widowControl w:val="0"/>
              <w:wordWrap/>
              <w:adjustRightInd/>
              <w:snapToGrid/>
              <w:spacing w:line="34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2.4质量改进</w:t>
            </w:r>
          </w:p>
        </w:tc>
        <w:tc>
          <w:tcPr>
            <w:tcW w:w="9945" w:type="dxa"/>
            <w:vAlign w:val="top"/>
          </w:tcPr>
          <w:p>
            <w:pPr>
              <w:widowControl w:val="0"/>
              <w:numPr>
                <w:ilvl w:val="0"/>
                <w:numId w:val="99"/>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如何收集并确定组织质量改进需求，结合班组特色和实际开展质量改进和技术改造，采用适宜的质量管理工具解决生产、服务及管理过程中的问题。</w:t>
            </w:r>
          </w:p>
          <w:p>
            <w:pPr>
              <w:widowControl w:val="0"/>
              <w:numPr>
                <w:ilvl w:val="0"/>
                <w:numId w:val="99"/>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如何结合岗位工作特点，针对班组管理、工作流程、工作方法、工作设备、工作环境等持续进行"小发明、小创造、小革新、小设计、小建议"等五小改善和创新。</w:t>
            </w:r>
          </w:p>
        </w:tc>
        <w:tc>
          <w:tcPr>
            <w:tcW w:w="126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90分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21" w:type="dxa"/>
            <w:vMerge w:val="restart"/>
            <w:vAlign w:val="center"/>
          </w:tcPr>
          <w:p>
            <w:pPr>
              <w:widowControl w:val="0"/>
              <w:numPr>
                <w:ilvl w:val="0"/>
                <w:numId w:val="0"/>
              </w:numPr>
              <w:wordWrap/>
              <w:adjustRightInd/>
              <w:snapToGrid/>
              <w:spacing w:line="300" w:lineRule="exact"/>
              <w:ind w:left="0" w:leftChars="0" w:firstLine="0" w:firstLineChars="0"/>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w:t>
            </w:r>
          </w:p>
        </w:tc>
        <w:tc>
          <w:tcPr>
            <w:tcW w:w="1200" w:type="dxa"/>
            <w:vMerge w:val="restart"/>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创新</w:t>
            </w:r>
          </w:p>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250分</w:t>
            </w:r>
          </w:p>
        </w:tc>
        <w:tc>
          <w:tcPr>
            <w:tcW w:w="1960"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3.1创新能力</w:t>
            </w:r>
          </w:p>
        </w:tc>
        <w:tc>
          <w:tcPr>
            <w:tcW w:w="9945" w:type="dxa"/>
            <w:vAlign w:val="top"/>
          </w:tcPr>
          <w:p>
            <w:pPr>
              <w:widowControl w:val="0"/>
              <w:numPr>
                <w:ilvl w:val="0"/>
                <w:numId w:val="100"/>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如何将创新理念融入到班组活动之中，</w:t>
            </w:r>
            <w:r>
              <w:rPr>
                <w:rFonts w:hint="default" w:ascii="Times New Roman" w:hAnsi="Times New Roman" w:eastAsia="宋体" w:cs="Times New Roman"/>
                <w:spacing w:val="0"/>
                <w:w w:val="100"/>
                <w:kern w:val="2"/>
                <w:sz w:val="21"/>
                <w:szCs w:val="21"/>
                <w:lang w:val="en-US" w:eastAsia="zh-CN" w:bidi="ar-SA"/>
              </w:rPr>
              <w:t>引导员工发扬工匠精神，崇尚创新,自觉掌握创新方法，激发创新潜能</w:t>
            </w:r>
            <w:r>
              <w:rPr>
                <w:rFonts w:hint="default" w:ascii="Times New Roman" w:hAnsi="Times New Roman" w:eastAsia="宋体" w:cs="Times New Roman"/>
                <w:spacing w:val="0"/>
                <w:w w:val="100"/>
                <w:sz w:val="21"/>
                <w:szCs w:val="21"/>
                <w:lang w:val="en-US" w:eastAsia="zh-CN"/>
              </w:rPr>
              <w:t>，让创新工作渗透到班组业务开展的每一时刻和每位成员，提高班组的创新和技术攻关能力。</w:t>
            </w:r>
          </w:p>
          <w:p>
            <w:pPr>
              <w:widowControl w:val="0"/>
              <w:numPr>
                <w:ilvl w:val="0"/>
                <w:numId w:val="100"/>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如何建立攻关团队、创新小组、技能大师工作室、专业技术协会等创新平台</w:t>
            </w:r>
            <w:r>
              <w:rPr>
                <w:rFonts w:hint="default" w:ascii="Times New Roman" w:hAnsi="Times New Roman" w:eastAsia="宋体" w:cs="Times New Roman"/>
                <w:spacing w:val="0"/>
                <w:w w:val="100"/>
                <w:sz w:val="21"/>
                <w:szCs w:val="21"/>
              </w:rPr>
              <w:t>，</w:t>
            </w:r>
            <w:r>
              <w:rPr>
                <w:rFonts w:hint="default" w:ascii="Times New Roman" w:hAnsi="Times New Roman" w:eastAsia="宋体" w:cs="Times New Roman"/>
                <w:spacing w:val="0"/>
                <w:w w:val="100"/>
                <w:sz w:val="21"/>
                <w:szCs w:val="21"/>
                <w:lang w:val="en-US" w:eastAsia="zh-CN"/>
              </w:rPr>
              <w:t>加强</w:t>
            </w:r>
            <w:r>
              <w:rPr>
                <w:rFonts w:hint="default" w:ascii="Times New Roman" w:hAnsi="Times New Roman" w:eastAsia="宋体" w:cs="Times New Roman"/>
                <w:spacing w:val="0"/>
                <w:w w:val="100"/>
                <w:sz w:val="21"/>
                <w:szCs w:val="21"/>
              </w:rPr>
              <w:t>创新成果</w:t>
            </w:r>
            <w:r>
              <w:rPr>
                <w:rFonts w:hint="default" w:ascii="Times New Roman" w:hAnsi="Times New Roman" w:eastAsia="宋体" w:cs="Times New Roman"/>
                <w:spacing w:val="0"/>
                <w:w w:val="100"/>
                <w:sz w:val="21"/>
                <w:szCs w:val="21"/>
                <w:lang w:val="en-US" w:eastAsia="zh-CN"/>
              </w:rPr>
              <w:t>及</w:t>
            </w:r>
            <w:r>
              <w:rPr>
                <w:rFonts w:hint="default" w:ascii="Times New Roman" w:hAnsi="Times New Roman" w:eastAsia="宋体" w:cs="Times New Roman"/>
                <w:spacing w:val="0"/>
                <w:w w:val="100"/>
                <w:sz w:val="21"/>
                <w:szCs w:val="21"/>
              </w:rPr>
              <w:t>发明创造</w:t>
            </w:r>
            <w:r>
              <w:rPr>
                <w:rFonts w:hint="default" w:ascii="Times New Roman" w:hAnsi="Times New Roman" w:eastAsia="宋体" w:cs="Times New Roman"/>
                <w:spacing w:val="0"/>
                <w:w w:val="100"/>
                <w:sz w:val="21"/>
                <w:szCs w:val="21"/>
                <w:lang w:val="en-US" w:eastAsia="zh-CN"/>
              </w:rPr>
              <w:t>的</w:t>
            </w:r>
            <w:r>
              <w:rPr>
                <w:rFonts w:hint="default" w:ascii="Times New Roman" w:hAnsi="Times New Roman" w:eastAsia="宋体" w:cs="Times New Roman"/>
                <w:spacing w:val="0"/>
                <w:w w:val="100"/>
                <w:sz w:val="21"/>
                <w:szCs w:val="21"/>
              </w:rPr>
              <w:t>推广运用</w:t>
            </w:r>
            <w:r>
              <w:rPr>
                <w:rFonts w:hint="default" w:ascii="Times New Roman" w:hAnsi="Times New Roman" w:eastAsia="宋体" w:cs="Times New Roman"/>
                <w:spacing w:val="0"/>
                <w:w w:val="100"/>
                <w:sz w:val="21"/>
                <w:szCs w:val="21"/>
                <w:lang w:val="en-US" w:eastAsia="zh-CN"/>
              </w:rPr>
              <w:t>。</w:t>
            </w:r>
          </w:p>
        </w:tc>
        <w:tc>
          <w:tcPr>
            <w:tcW w:w="126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90分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21" w:type="dxa"/>
            <w:vMerge w:val="continue"/>
            <w:vAlign w:val="center"/>
          </w:tcPr>
          <w:p>
            <w:pPr>
              <w:widowControl w:val="0"/>
              <w:numPr>
                <w:ilvl w:val="0"/>
                <w:numId w:val="101"/>
              </w:numPr>
              <w:wordWrap/>
              <w:adjustRightInd/>
              <w:snapToGrid/>
              <w:spacing w:line="300" w:lineRule="exact"/>
              <w:ind w:left="425" w:leftChars="0" w:hanging="425" w:firstLineChars="0"/>
              <w:jc w:val="center"/>
              <w:textAlignment w:val="auto"/>
              <w:rPr>
                <w:rFonts w:hint="default" w:ascii="Times New Roman" w:hAnsi="Times New Roman" w:eastAsia="宋体" w:cs="Times New Roman"/>
                <w:spacing w:val="0"/>
                <w:w w:val="100"/>
                <w:sz w:val="21"/>
                <w:szCs w:val="21"/>
                <w:lang w:val="en-US" w:eastAsia="zh-CN"/>
              </w:rPr>
            </w:pPr>
          </w:p>
        </w:tc>
        <w:tc>
          <w:tcPr>
            <w:tcW w:w="1200" w:type="dxa"/>
            <w:vMerge w:val="continue"/>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p>
        </w:tc>
        <w:tc>
          <w:tcPr>
            <w:tcW w:w="1960"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3.2管理创新</w:t>
            </w:r>
          </w:p>
        </w:tc>
        <w:tc>
          <w:tcPr>
            <w:tcW w:w="9945" w:type="dxa"/>
            <w:vAlign w:val="top"/>
          </w:tcPr>
          <w:p>
            <w:pPr>
              <w:widowControl w:val="0"/>
              <w:numPr>
                <w:ilvl w:val="0"/>
                <w:numId w:val="102"/>
              </w:numPr>
              <w:wordWrap/>
              <w:adjustRightInd/>
              <w:snapToGrid/>
              <w:spacing w:line="320" w:lineRule="exact"/>
              <w:ind w:left="225" w:leftChars="0" w:hanging="225" w:firstLineChars="0"/>
              <w:textAlignment w:val="auto"/>
              <w:rPr>
                <w:rFonts w:hint="default" w:ascii="Times New Roman" w:hAnsi="Times New Roman" w:eastAsia="宋体" w:cs="Times New Roman"/>
                <w:spacing w:val="0"/>
                <w:w w:val="100"/>
                <w:sz w:val="21"/>
                <w:szCs w:val="21"/>
              </w:rPr>
            </w:pPr>
            <w:r>
              <w:rPr>
                <w:rFonts w:hint="default" w:ascii="Times New Roman" w:hAnsi="Times New Roman" w:eastAsia="宋体" w:cs="Times New Roman"/>
                <w:spacing w:val="0"/>
                <w:w w:val="100"/>
                <w:sz w:val="21"/>
                <w:szCs w:val="21"/>
              </w:rPr>
              <w:t>如何建立和完善班组创新激励机制，丰富创新激励举措，引导、鼓励和鞭策员工积极参与组织的改进和创新。</w:t>
            </w:r>
          </w:p>
          <w:p>
            <w:pPr>
              <w:widowControl w:val="0"/>
              <w:numPr>
                <w:ilvl w:val="0"/>
                <w:numId w:val="102"/>
              </w:numPr>
              <w:wordWrap/>
              <w:adjustRightInd/>
              <w:snapToGrid/>
              <w:spacing w:line="320" w:lineRule="exact"/>
              <w:ind w:left="225" w:leftChars="0" w:hanging="225" w:firstLineChars="0"/>
              <w:textAlignment w:val="auto"/>
              <w:rPr>
                <w:rFonts w:hint="default" w:ascii="Times New Roman" w:hAnsi="Times New Roman" w:eastAsia="宋体" w:cs="Times New Roman"/>
                <w:spacing w:val="0"/>
                <w:w w:val="100"/>
                <w:sz w:val="21"/>
                <w:szCs w:val="21"/>
              </w:rPr>
            </w:pPr>
            <w:r>
              <w:rPr>
                <w:rFonts w:hint="default" w:ascii="Times New Roman" w:hAnsi="Times New Roman" w:eastAsia="宋体" w:cs="Times New Roman"/>
                <w:spacing w:val="0"/>
                <w:w w:val="100"/>
                <w:sz w:val="21"/>
                <w:szCs w:val="21"/>
              </w:rPr>
              <w:t>如何在满足基础管理的情况下进行班组管理模式、方法和制度创新</w:t>
            </w:r>
            <w:r>
              <w:rPr>
                <w:rFonts w:hint="default" w:ascii="Times New Roman" w:hAnsi="Times New Roman" w:eastAsia="宋体" w:cs="Times New Roman"/>
                <w:spacing w:val="0"/>
                <w:w w:val="100"/>
                <w:sz w:val="21"/>
                <w:szCs w:val="21"/>
                <w:lang w:eastAsia="zh-CN"/>
              </w:rPr>
              <w:t>，</w:t>
            </w:r>
            <w:r>
              <w:rPr>
                <w:rFonts w:hint="default" w:ascii="Times New Roman" w:hAnsi="Times New Roman" w:eastAsia="宋体" w:cs="Times New Roman"/>
                <w:spacing w:val="0"/>
                <w:w w:val="100"/>
                <w:sz w:val="21"/>
                <w:szCs w:val="21"/>
                <w:lang w:val="en-US" w:eastAsia="zh-CN"/>
              </w:rPr>
              <w:t>并</w:t>
            </w:r>
            <w:r>
              <w:rPr>
                <w:rFonts w:hint="default" w:ascii="Times New Roman" w:hAnsi="Times New Roman" w:eastAsia="宋体" w:cs="Times New Roman"/>
                <w:spacing w:val="0"/>
                <w:w w:val="100"/>
                <w:sz w:val="21"/>
                <w:szCs w:val="21"/>
              </w:rPr>
              <w:t>建立机制在班组内、外部组织宣传、推广、应用质量管理模式、方法</w:t>
            </w:r>
            <w:r>
              <w:rPr>
                <w:rFonts w:hint="default" w:ascii="Times New Roman" w:hAnsi="Times New Roman" w:eastAsia="宋体" w:cs="Times New Roman"/>
                <w:spacing w:val="0"/>
                <w:w w:val="100"/>
                <w:sz w:val="21"/>
                <w:szCs w:val="21"/>
                <w:lang w:val="en-US" w:eastAsia="zh-CN"/>
              </w:rPr>
              <w:t>和/或</w:t>
            </w:r>
            <w:r>
              <w:rPr>
                <w:rFonts w:hint="default" w:ascii="Times New Roman" w:hAnsi="Times New Roman" w:eastAsia="宋体" w:cs="Times New Roman"/>
                <w:spacing w:val="0"/>
                <w:w w:val="100"/>
                <w:sz w:val="21"/>
                <w:szCs w:val="21"/>
              </w:rPr>
              <w:t>制度，并持续完善改进。</w:t>
            </w:r>
          </w:p>
          <w:p>
            <w:pPr>
              <w:widowControl w:val="0"/>
              <w:numPr>
                <w:ilvl w:val="0"/>
                <w:numId w:val="102"/>
              </w:numPr>
              <w:wordWrap/>
              <w:adjustRightInd/>
              <w:snapToGrid/>
              <w:spacing w:line="320" w:lineRule="exact"/>
              <w:ind w:left="225" w:leftChars="0" w:hanging="225" w:firstLineChars="0"/>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rPr>
              <w:t>如何根据组织的战略任务、工艺技术和产品发展的趋势，有组织有计划地推动班组管理创新，包括针对具体质量问题创新管理工具和方法。</w:t>
            </w:r>
          </w:p>
        </w:tc>
        <w:tc>
          <w:tcPr>
            <w:tcW w:w="126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80分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21" w:type="dxa"/>
            <w:vMerge w:val="continue"/>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rPr>
            </w:pPr>
          </w:p>
        </w:tc>
        <w:tc>
          <w:tcPr>
            <w:tcW w:w="1200" w:type="dxa"/>
            <w:vMerge w:val="continue"/>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p>
        </w:tc>
        <w:tc>
          <w:tcPr>
            <w:tcW w:w="1960" w:type="dxa"/>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3.3技术创新</w:t>
            </w:r>
          </w:p>
        </w:tc>
        <w:tc>
          <w:tcPr>
            <w:tcW w:w="9945" w:type="dxa"/>
            <w:vAlign w:val="top"/>
          </w:tcPr>
          <w:p>
            <w:pPr>
              <w:widowControl w:val="0"/>
              <w:numPr>
                <w:ilvl w:val="0"/>
                <w:numId w:val="103"/>
              </w:numPr>
              <w:wordWrap/>
              <w:adjustRightInd/>
              <w:snapToGrid/>
              <w:spacing w:line="320" w:lineRule="exact"/>
              <w:ind w:left="225" w:leftChars="0" w:hanging="225" w:firstLineChars="0"/>
              <w:textAlignment w:val="auto"/>
              <w:rPr>
                <w:rFonts w:hint="default" w:ascii="Times New Roman" w:hAnsi="Times New Roman" w:eastAsia="宋体" w:cs="Times New Roman"/>
                <w:spacing w:val="0"/>
                <w:w w:val="100"/>
                <w:sz w:val="21"/>
                <w:szCs w:val="21"/>
              </w:rPr>
            </w:pPr>
            <w:r>
              <w:rPr>
                <w:rFonts w:hint="default" w:ascii="Times New Roman" w:hAnsi="Times New Roman" w:eastAsia="宋体" w:cs="Times New Roman"/>
                <w:spacing w:val="0"/>
                <w:w w:val="100"/>
                <w:sz w:val="21"/>
                <w:szCs w:val="21"/>
              </w:rPr>
              <w:t>如何利用互联网、物联网、大数据等新一代信息技术进行诸如研发、设计、工艺、产品加工、制造和服务提供等技术创新。</w:t>
            </w:r>
          </w:p>
          <w:p>
            <w:pPr>
              <w:widowControl w:val="0"/>
              <w:numPr>
                <w:ilvl w:val="0"/>
                <w:numId w:val="103"/>
              </w:numPr>
              <w:wordWrap/>
              <w:adjustRightInd/>
              <w:snapToGrid/>
              <w:spacing w:line="320" w:lineRule="exact"/>
              <w:ind w:left="225" w:leftChars="0" w:hanging="225" w:firstLineChars="0"/>
              <w:textAlignment w:val="auto"/>
              <w:rPr>
                <w:rFonts w:hint="default" w:ascii="Times New Roman" w:hAnsi="Times New Roman" w:eastAsia="宋体" w:cs="Times New Roman"/>
                <w:spacing w:val="0"/>
                <w:w w:val="100"/>
                <w:sz w:val="21"/>
                <w:szCs w:val="21"/>
              </w:rPr>
            </w:pPr>
            <w:r>
              <w:rPr>
                <w:rFonts w:hint="default" w:ascii="Times New Roman" w:hAnsi="Times New Roman" w:eastAsia="宋体" w:cs="Times New Roman"/>
                <w:spacing w:val="0"/>
                <w:w w:val="100"/>
                <w:sz w:val="21"/>
                <w:szCs w:val="21"/>
              </w:rPr>
              <w:t>如何针对班组各项关键指标、老大难问题或关键工作开展技术创新或技术攻关。</w:t>
            </w:r>
          </w:p>
          <w:p>
            <w:pPr>
              <w:widowControl w:val="0"/>
              <w:numPr>
                <w:ilvl w:val="0"/>
                <w:numId w:val="103"/>
              </w:numPr>
              <w:wordWrap/>
              <w:adjustRightInd/>
              <w:snapToGrid/>
              <w:spacing w:line="320" w:lineRule="exact"/>
              <w:ind w:left="225" w:leftChars="0" w:hanging="225" w:firstLineChars="0"/>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rPr>
              <w:t>如何有效收集、确认、传递、分享、应用班组内、外部的知识信息，</w:t>
            </w:r>
            <w:r>
              <w:rPr>
                <w:rFonts w:hint="default" w:ascii="Times New Roman" w:hAnsi="Times New Roman" w:eastAsia="宋体" w:cs="Times New Roman"/>
                <w:spacing w:val="0"/>
                <w:w w:val="100"/>
                <w:sz w:val="21"/>
                <w:szCs w:val="21"/>
                <w:lang w:val="en-US" w:eastAsia="zh-CN"/>
              </w:rPr>
              <w:t>并进行</w:t>
            </w:r>
            <w:r>
              <w:rPr>
                <w:rFonts w:hint="default" w:ascii="Times New Roman" w:hAnsi="Times New Roman" w:eastAsia="宋体" w:cs="Times New Roman"/>
                <w:spacing w:val="0"/>
                <w:w w:val="100"/>
                <w:sz w:val="21"/>
                <w:szCs w:val="21"/>
              </w:rPr>
              <w:t>知识资产管理，将知识转化为班组效益，促进知识资产的不断增值。</w:t>
            </w:r>
          </w:p>
        </w:tc>
        <w:tc>
          <w:tcPr>
            <w:tcW w:w="126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80分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21" w:type="dxa"/>
            <w:vMerge w:val="restart"/>
            <w:vAlign w:val="center"/>
          </w:tcPr>
          <w:p>
            <w:pPr>
              <w:widowControl w:val="0"/>
              <w:numPr>
                <w:ilvl w:val="0"/>
                <w:numId w:val="0"/>
              </w:numPr>
              <w:wordWrap/>
              <w:adjustRightInd/>
              <w:snapToGrid/>
              <w:spacing w:line="300" w:lineRule="exact"/>
              <w:ind w:left="0" w:leftChars="0" w:firstLine="0" w:firstLineChars="0"/>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4</w:t>
            </w:r>
          </w:p>
        </w:tc>
        <w:tc>
          <w:tcPr>
            <w:tcW w:w="1200" w:type="dxa"/>
            <w:vMerge w:val="restart"/>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品牌</w:t>
            </w:r>
          </w:p>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100分</w:t>
            </w:r>
          </w:p>
        </w:tc>
        <w:tc>
          <w:tcPr>
            <w:tcW w:w="1960" w:type="dxa"/>
            <w:tcMar>
              <w:top w:w="0" w:type="dxa"/>
              <w:left w:w="108" w:type="dxa"/>
              <w:bottom w:w="0" w:type="dxa"/>
              <w:right w:w="108" w:type="dxa"/>
            </w:tcMar>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4.1品牌规划</w:t>
            </w:r>
          </w:p>
        </w:tc>
        <w:tc>
          <w:tcPr>
            <w:tcW w:w="9945" w:type="dxa"/>
            <w:vAlign w:val="top"/>
          </w:tcPr>
          <w:p>
            <w:pPr>
              <w:widowControl w:val="0"/>
              <w:numPr>
                <w:ilvl w:val="0"/>
                <w:numId w:val="104"/>
              </w:numPr>
              <w:wordWrap/>
              <w:adjustRightInd/>
              <w:snapToGrid/>
              <w:spacing w:line="320" w:lineRule="exact"/>
              <w:jc w:val="left"/>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如何基于组织发展和班组特色进行班组品牌定位和规划，并建立班组品牌识别系统。</w:t>
            </w:r>
          </w:p>
          <w:p>
            <w:pPr>
              <w:widowControl w:val="0"/>
              <w:numPr>
                <w:ilvl w:val="0"/>
                <w:numId w:val="104"/>
              </w:numPr>
              <w:wordWrap/>
              <w:adjustRightInd/>
              <w:snapToGrid/>
              <w:spacing w:line="320" w:lineRule="exact"/>
              <w:jc w:val="left"/>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如何开展班组品牌建设活动，包括办理班组文化墙、建设班组园地（含电子载体）、班组成员风采录等。</w:t>
            </w:r>
          </w:p>
        </w:tc>
        <w:tc>
          <w:tcPr>
            <w:tcW w:w="126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21" w:type="dxa"/>
            <w:vMerge w:val="continue"/>
            <w:vAlign w:val="top"/>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rPr>
            </w:pPr>
          </w:p>
        </w:tc>
        <w:tc>
          <w:tcPr>
            <w:tcW w:w="1200" w:type="dxa"/>
            <w:vMerge w:val="continue"/>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p>
        </w:tc>
        <w:tc>
          <w:tcPr>
            <w:tcW w:w="1960" w:type="dxa"/>
            <w:tcMar>
              <w:top w:w="0" w:type="dxa"/>
              <w:left w:w="108" w:type="dxa"/>
              <w:bottom w:w="0" w:type="dxa"/>
              <w:right w:w="108" w:type="dxa"/>
            </w:tcMar>
            <w:vAlign w:val="center"/>
          </w:tcPr>
          <w:p>
            <w:pPr>
              <w:widowControl w:val="0"/>
              <w:wordWrap/>
              <w:adjustRightInd/>
              <w:snapToGrid/>
              <w:spacing w:line="32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4.2品牌管理</w:t>
            </w:r>
          </w:p>
        </w:tc>
        <w:tc>
          <w:tcPr>
            <w:tcW w:w="9945" w:type="dxa"/>
            <w:vAlign w:val="top"/>
          </w:tcPr>
          <w:p>
            <w:pPr>
              <w:widowControl w:val="0"/>
              <w:numPr>
                <w:ilvl w:val="0"/>
                <w:numId w:val="105"/>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如何做好班组宣传报道，及时宣传班组的好人好事、先进典型，激励员工努力进取，奋发向上，塑造班组良好形象。</w:t>
            </w:r>
          </w:p>
          <w:p>
            <w:pPr>
              <w:widowControl w:val="0"/>
              <w:numPr>
                <w:ilvl w:val="0"/>
                <w:numId w:val="105"/>
              </w:numPr>
              <w:wordWrap/>
              <w:adjustRightInd/>
              <w:snapToGrid/>
              <w:spacing w:line="32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如何展现班组风采，彰显班组精神，提升班组影响力，包括参加劳动竞赛、技术比武、岗位练兵、知识竞赛、技术交流等活动。</w:t>
            </w:r>
          </w:p>
        </w:tc>
        <w:tc>
          <w:tcPr>
            <w:tcW w:w="126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21" w:type="dxa"/>
            <w:vMerge w:val="restart"/>
            <w:vAlign w:val="center"/>
          </w:tcPr>
          <w:p>
            <w:pPr>
              <w:widowControl w:val="0"/>
              <w:numPr>
                <w:ilvl w:val="0"/>
                <w:numId w:val="0"/>
              </w:numPr>
              <w:wordWrap/>
              <w:adjustRightInd/>
              <w:snapToGrid/>
              <w:spacing w:line="300" w:lineRule="exact"/>
              <w:ind w:left="0" w:leftChars="0" w:firstLine="0" w:firstLineChars="0"/>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w:t>
            </w:r>
          </w:p>
        </w:tc>
        <w:tc>
          <w:tcPr>
            <w:tcW w:w="1200" w:type="dxa"/>
            <w:vMerge w:val="restart"/>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效益</w:t>
            </w:r>
          </w:p>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150分</w:t>
            </w:r>
          </w:p>
        </w:tc>
        <w:tc>
          <w:tcPr>
            <w:tcW w:w="1960" w:type="dxa"/>
            <w:tcMar>
              <w:top w:w="0" w:type="dxa"/>
              <w:left w:w="108" w:type="dxa"/>
              <w:bottom w:w="0" w:type="dxa"/>
              <w:right w:w="108" w:type="dxa"/>
            </w:tcMar>
            <w:vAlign w:val="center"/>
          </w:tcPr>
          <w:p>
            <w:pPr>
              <w:widowControl w:val="0"/>
              <w:wordWrap/>
              <w:adjustRightInd/>
              <w:snapToGrid/>
              <w:spacing w:line="34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5.1质量水平</w:t>
            </w:r>
          </w:p>
        </w:tc>
        <w:tc>
          <w:tcPr>
            <w:tcW w:w="9945" w:type="dxa"/>
            <w:vAlign w:val="top"/>
          </w:tcPr>
          <w:p>
            <w:pPr>
              <w:widowControl w:val="0"/>
              <w:numPr>
                <w:ilvl w:val="0"/>
                <w:numId w:val="106"/>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说明产品或服务的关键质量指标水平、工艺水平及管理水平提升情况。</w:t>
            </w:r>
          </w:p>
          <w:p>
            <w:pPr>
              <w:widowControl w:val="0"/>
              <w:numPr>
                <w:ilvl w:val="0"/>
                <w:numId w:val="106"/>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说明质量安全状况，如人员伤亡、质量安全事故等。</w:t>
            </w:r>
          </w:p>
          <w:p>
            <w:pPr>
              <w:widowControl w:val="0"/>
              <w:numPr>
                <w:ilvl w:val="0"/>
                <w:numId w:val="106"/>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说明国内外有关质量竞赛、评选、</w:t>
            </w:r>
            <w:r>
              <w:rPr>
                <w:rFonts w:hint="default" w:ascii="Times New Roman" w:hAnsi="Times New Roman" w:eastAsia="宋体" w:cs="Times New Roman"/>
                <w:spacing w:val="0"/>
                <w:w w:val="100"/>
                <w:sz w:val="21"/>
                <w:szCs w:val="21"/>
              </w:rPr>
              <w:t>评比</w:t>
            </w:r>
            <w:r>
              <w:rPr>
                <w:rFonts w:hint="default" w:ascii="Times New Roman" w:hAnsi="Times New Roman" w:eastAsia="宋体" w:cs="Times New Roman"/>
                <w:spacing w:val="0"/>
                <w:w w:val="100"/>
                <w:sz w:val="21"/>
                <w:szCs w:val="21"/>
                <w:lang w:val="en-US" w:eastAsia="zh-CN"/>
              </w:rPr>
              <w:t>等获得奖励或荣誉情况。</w:t>
            </w:r>
          </w:p>
        </w:tc>
        <w:tc>
          <w:tcPr>
            <w:tcW w:w="126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21" w:type="dxa"/>
            <w:vMerge w:val="continue"/>
            <w:vAlign w:val="center"/>
          </w:tcPr>
          <w:p>
            <w:pPr>
              <w:widowControl w:val="0"/>
              <w:numPr>
                <w:ilvl w:val="0"/>
                <w:numId w:val="101"/>
              </w:numPr>
              <w:wordWrap/>
              <w:adjustRightInd/>
              <w:snapToGrid/>
              <w:spacing w:line="340" w:lineRule="exact"/>
              <w:ind w:left="425" w:leftChars="0" w:hanging="425" w:firstLineChars="0"/>
              <w:jc w:val="center"/>
              <w:textAlignment w:val="auto"/>
              <w:rPr>
                <w:rFonts w:hint="default" w:ascii="Times New Roman" w:hAnsi="Times New Roman" w:eastAsia="宋体" w:cs="Times New Roman"/>
                <w:spacing w:val="0"/>
                <w:w w:val="100"/>
                <w:sz w:val="21"/>
                <w:szCs w:val="21"/>
                <w:lang w:val="en-US" w:eastAsia="zh-CN"/>
              </w:rPr>
            </w:pPr>
          </w:p>
        </w:tc>
        <w:tc>
          <w:tcPr>
            <w:tcW w:w="1200" w:type="dxa"/>
            <w:vMerge w:val="continue"/>
            <w:vAlign w:val="center"/>
          </w:tcPr>
          <w:p>
            <w:pPr>
              <w:widowControl w:val="0"/>
              <w:wordWrap/>
              <w:adjustRightInd/>
              <w:snapToGrid/>
              <w:spacing w:line="340" w:lineRule="exact"/>
              <w:jc w:val="center"/>
              <w:textAlignment w:val="auto"/>
              <w:rPr>
                <w:rFonts w:hint="default" w:ascii="Times New Roman" w:hAnsi="Times New Roman" w:eastAsia="宋体" w:cs="Times New Roman"/>
                <w:spacing w:val="0"/>
                <w:w w:val="100"/>
                <w:sz w:val="21"/>
                <w:szCs w:val="21"/>
                <w:lang w:val="en-US" w:eastAsia="zh-CN"/>
              </w:rPr>
            </w:pPr>
          </w:p>
        </w:tc>
        <w:tc>
          <w:tcPr>
            <w:tcW w:w="1960" w:type="dxa"/>
            <w:tcMar>
              <w:top w:w="0" w:type="dxa"/>
              <w:left w:w="108" w:type="dxa"/>
              <w:bottom w:w="0" w:type="dxa"/>
              <w:right w:w="108" w:type="dxa"/>
            </w:tcMar>
            <w:vAlign w:val="center"/>
          </w:tcPr>
          <w:p>
            <w:pPr>
              <w:widowControl w:val="0"/>
              <w:wordWrap/>
              <w:adjustRightInd/>
              <w:snapToGrid/>
              <w:spacing w:line="34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5.2创新价值</w:t>
            </w:r>
          </w:p>
        </w:tc>
        <w:tc>
          <w:tcPr>
            <w:tcW w:w="9945" w:type="dxa"/>
            <w:vAlign w:val="top"/>
          </w:tcPr>
          <w:p>
            <w:pPr>
              <w:widowControl w:val="0"/>
              <w:numPr>
                <w:ilvl w:val="0"/>
                <w:numId w:val="107"/>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说明班组在技术攻关时取得的核心技术情况，包括解决了哪些卡脖子的技术问题等。</w:t>
            </w:r>
          </w:p>
          <w:p>
            <w:pPr>
              <w:widowControl w:val="0"/>
              <w:numPr>
                <w:ilvl w:val="0"/>
                <w:numId w:val="107"/>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说明技术创新结果（核心技术）在增强市场竞争力方面的促进作用，如适应市场需求、替代进口装备（材料）和突破技术壁垒以及推动科技进步、引领产业发展。</w:t>
            </w:r>
          </w:p>
        </w:tc>
        <w:tc>
          <w:tcPr>
            <w:tcW w:w="126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21" w:type="dxa"/>
            <w:vMerge w:val="continue"/>
            <w:vAlign w:val="top"/>
          </w:tcPr>
          <w:p>
            <w:pPr>
              <w:widowControl w:val="0"/>
              <w:wordWrap/>
              <w:adjustRightInd/>
              <w:snapToGrid/>
              <w:spacing w:line="34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1200" w:type="dxa"/>
            <w:vMerge w:val="continue"/>
            <w:vAlign w:val="top"/>
          </w:tcPr>
          <w:p>
            <w:pPr>
              <w:widowControl w:val="0"/>
              <w:wordWrap/>
              <w:adjustRightInd/>
              <w:snapToGrid/>
              <w:spacing w:line="340" w:lineRule="exact"/>
              <w:jc w:val="center"/>
              <w:textAlignment w:val="auto"/>
              <w:rPr>
                <w:rFonts w:hint="default" w:ascii="Times New Roman" w:hAnsi="Times New Roman" w:eastAsia="宋体" w:cs="Times New Roman"/>
                <w:spacing w:val="0"/>
                <w:w w:val="100"/>
                <w:sz w:val="21"/>
                <w:szCs w:val="21"/>
                <w:lang w:val="en-US" w:eastAsia="zh-CN"/>
              </w:rPr>
            </w:pPr>
          </w:p>
        </w:tc>
        <w:tc>
          <w:tcPr>
            <w:tcW w:w="1960" w:type="dxa"/>
            <w:tcMar>
              <w:top w:w="0" w:type="dxa"/>
              <w:left w:w="108" w:type="dxa"/>
              <w:bottom w:w="0" w:type="dxa"/>
              <w:right w:w="108" w:type="dxa"/>
            </w:tcMar>
            <w:vAlign w:val="center"/>
          </w:tcPr>
          <w:p>
            <w:pPr>
              <w:widowControl w:val="0"/>
              <w:wordWrap/>
              <w:adjustRightInd/>
              <w:snapToGrid/>
              <w:spacing w:line="34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5.3效率变革</w:t>
            </w:r>
          </w:p>
        </w:tc>
        <w:tc>
          <w:tcPr>
            <w:tcW w:w="9945" w:type="dxa"/>
            <w:vAlign w:val="top"/>
          </w:tcPr>
          <w:p>
            <w:pPr>
              <w:widowControl w:val="0"/>
              <w:numPr>
                <w:ilvl w:val="0"/>
                <w:numId w:val="0"/>
              </w:numPr>
              <w:wordWrap/>
              <w:adjustRightInd/>
              <w:snapToGrid/>
              <w:spacing w:line="340" w:lineRule="exact"/>
              <w:ind w:left="0" w:leftChars="0" w:firstLine="0"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a.说明</w:t>
            </w:r>
            <w:r>
              <w:rPr>
                <w:rFonts w:hint="default" w:ascii="Times New Roman" w:hAnsi="Times New Roman" w:eastAsia="宋体" w:cs="Times New Roman"/>
                <w:spacing w:val="0"/>
                <w:w w:val="100"/>
                <w:sz w:val="21"/>
                <w:szCs w:val="21"/>
              </w:rPr>
              <w:t>班组</w:t>
            </w:r>
            <w:r>
              <w:rPr>
                <w:rFonts w:hint="default" w:ascii="Times New Roman" w:hAnsi="Times New Roman" w:eastAsia="宋体" w:cs="Times New Roman"/>
                <w:spacing w:val="0"/>
                <w:w w:val="100"/>
                <w:sz w:val="21"/>
                <w:szCs w:val="21"/>
                <w:lang w:val="en-US" w:eastAsia="zh-CN"/>
              </w:rPr>
              <w:t>在生产组织效率，如节能降耗、修旧利废及</w:t>
            </w:r>
            <w:r>
              <w:rPr>
                <w:rFonts w:hint="default" w:ascii="Times New Roman" w:hAnsi="Times New Roman" w:eastAsia="宋体" w:cs="Times New Roman"/>
                <w:spacing w:val="0"/>
                <w:w w:val="100"/>
                <w:sz w:val="21"/>
                <w:szCs w:val="21"/>
              </w:rPr>
              <w:t>产能</w:t>
            </w:r>
            <w:r>
              <w:rPr>
                <w:rFonts w:hint="default" w:ascii="Times New Roman" w:hAnsi="Times New Roman" w:eastAsia="宋体" w:cs="Times New Roman"/>
                <w:spacing w:val="0"/>
                <w:w w:val="100"/>
                <w:sz w:val="21"/>
                <w:szCs w:val="21"/>
                <w:lang w:val="en-US" w:eastAsia="zh-CN"/>
              </w:rPr>
              <w:t>提升</w:t>
            </w:r>
            <w:r>
              <w:rPr>
                <w:rFonts w:hint="default" w:ascii="Times New Roman" w:hAnsi="Times New Roman" w:eastAsia="宋体" w:cs="Times New Roman"/>
                <w:spacing w:val="0"/>
                <w:w w:val="100"/>
                <w:sz w:val="21"/>
                <w:szCs w:val="21"/>
              </w:rPr>
              <w:t>等关键指标</w:t>
            </w:r>
            <w:r>
              <w:rPr>
                <w:rFonts w:hint="default" w:ascii="Times New Roman" w:hAnsi="Times New Roman" w:eastAsia="宋体" w:cs="Times New Roman"/>
                <w:spacing w:val="0"/>
                <w:w w:val="100"/>
                <w:sz w:val="21"/>
                <w:szCs w:val="21"/>
                <w:lang w:val="en-US" w:eastAsia="zh-CN"/>
              </w:rPr>
              <w:t>情况及发展趋势。</w:t>
            </w:r>
          </w:p>
          <w:p>
            <w:pPr>
              <w:widowControl w:val="0"/>
              <w:numPr>
                <w:ilvl w:val="0"/>
                <w:numId w:val="0"/>
              </w:numPr>
              <w:wordWrap/>
              <w:adjustRightInd/>
              <w:snapToGrid/>
              <w:spacing w:line="340" w:lineRule="exact"/>
              <w:ind w:left="0" w:leftChars="0" w:firstLine="0"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b.说明班组在组织运行效率如加工、制造和/或服务提供过程的有效性和效率状况以及全员劳动生产率等方面情况及发展趋势。</w:t>
            </w:r>
          </w:p>
        </w:tc>
        <w:tc>
          <w:tcPr>
            <w:tcW w:w="126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21" w:type="dxa"/>
            <w:vMerge w:val="continue"/>
            <w:vAlign w:val="top"/>
          </w:tcPr>
          <w:p>
            <w:pPr>
              <w:widowControl w:val="0"/>
              <w:wordWrap/>
              <w:adjustRightInd/>
              <w:snapToGrid/>
              <w:spacing w:line="34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1200" w:type="dxa"/>
            <w:vMerge w:val="continue"/>
            <w:vAlign w:val="top"/>
          </w:tcPr>
          <w:p>
            <w:pPr>
              <w:widowControl w:val="0"/>
              <w:wordWrap/>
              <w:adjustRightInd/>
              <w:snapToGrid/>
              <w:spacing w:line="340" w:lineRule="exact"/>
              <w:jc w:val="center"/>
              <w:textAlignment w:val="auto"/>
              <w:rPr>
                <w:rFonts w:hint="default" w:ascii="Times New Roman" w:hAnsi="Times New Roman" w:eastAsia="宋体" w:cs="Times New Roman"/>
                <w:spacing w:val="0"/>
                <w:w w:val="100"/>
                <w:sz w:val="21"/>
                <w:szCs w:val="21"/>
                <w:lang w:val="en-US" w:eastAsia="zh-CN"/>
              </w:rPr>
            </w:pPr>
          </w:p>
        </w:tc>
        <w:tc>
          <w:tcPr>
            <w:tcW w:w="1960" w:type="dxa"/>
            <w:tcMar>
              <w:top w:w="0" w:type="dxa"/>
              <w:left w:w="108" w:type="dxa"/>
              <w:bottom w:w="0" w:type="dxa"/>
              <w:right w:w="108" w:type="dxa"/>
            </w:tcMar>
            <w:vAlign w:val="center"/>
          </w:tcPr>
          <w:p>
            <w:pPr>
              <w:widowControl w:val="0"/>
              <w:wordWrap/>
              <w:adjustRightInd/>
              <w:snapToGrid/>
              <w:spacing w:line="34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5.4经济效益</w:t>
            </w:r>
          </w:p>
        </w:tc>
        <w:tc>
          <w:tcPr>
            <w:tcW w:w="9945" w:type="dxa"/>
            <w:vAlign w:val="top"/>
          </w:tcPr>
          <w:p>
            <w:pPr>
              <w:widowControl w:val="0"/>
              <w:numPr>
                <w:ilvl w:val="0"/>
                <w:numId w:val="108"/>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sz w:val="21"/>
                <w:szCs w:val="21"/>
                <w:lang w:val="en-US" w:eastAsia="zh-CN"/>
              </w:rPr>
              <w:t>说明班组改善新增/节省的经济效益，包括新产品/新服务及通过改良工艺等产生的经济效益。</w:t>
            </w:r>
          </w:p>
          <w:p>
            <w:pPr>
              <w:widowControl w:val="0"/>
              <w:numPr>
                <w:ilvl w:val="0"/>
                <w:numId w:val="108"/>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kern w:val="2"/>
                <w:sz w:val="21"/>
                <w:szCs w:val="21"/>
                <w:lang w:val="en-US" w:eastAsia="zh-CN" w:bidi="ar-SA"/>
              </w:rPr>
            </w:pPr>
            <w:r>
              <w:rPr>
                <w:rFonts w:hint="default" w:ascii="Times New Roman" w:hAnsi="Times New Roman" w:eastAsia="宋体" w:cs="Times New Roman"/>
                <w:spacing w:val="0"/>
                <w:w w:val="100"/>
                <w:kern w:val="2"/>
                <w:sz w:val="21"/>
                <w:szCs w:val="21"/>
                <w:lang w:val="en-US" w:eastAsia="zh-CN" w:bidi="ar-SA"/>
              </w:rPr>
              <w:t>说明运营收入、人均产值及其他财务方面的情况。</w:t>
            </w:r>
          </w:p>
        </w:tc>
        <w:tc>
          <w:tcPr>
            <w:tcW w:w="126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25分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21" w:type="dxa"/>
            <w:vMerge w:val="continue"/>
            <w:vAlign w:val="top"/>
          </w:tcPr>
          <w:p>
            <w:pPr>
              <w:widowControl w:val="0"/>
              <w:wordWrap/>
              <w:adjustRightInd/>
              <w:snapToGrid/>
              <w:spacing w:line="340" w:lineRule="exact"/>
              <w:ind w:left="425" w:leftChars="0" w:hanging="425" w:firstLineChars="0"/>
              <w:jc w:val="center"/>
              <w:textAlignment w:val="auto"/>
              <w:rPr>
                <w:rFonts w:hint="default" w:ascii="Times New Roman" w:hAnsi="Times New Roman" w:eastAsia="宋体" w:cs="Times New Roman"/>
                <w:spacing w:val="0"/>
                <w:w w:val="100"/>
                <w:sz w:val="21"/>
                <w:szCs w:val="21"/>
              </w:rPr>
            </w:pPr>
          </w:p>
        </w:tc>
        <w:tc>
          <w:tcPr>
            <w:tcW w:w="1200" w:type="dxa"/>
            <w:vMerge w:val="continue"/>
            <w:vAlign w:val="top"/>
          </w:tcPr>
          <w:p>
            <w:pPr>
              <w:widowControl w:val="0"/>
              <w:wordWrap/>
              <w:adjustRightInd/>
              <w:snapToGrid/>
              <w:spacing w:line="340" w:lineRule="exact"/>
              <w:jc w:val="center"/>
              <w:textAlignment w:val="auto"/>
              <w:rPr>
                <w:rFonts w:hint="default" w:ascii="Times New Roman" w:hAnsi="Times New Roman" w:eastAsia="宋体" w:cs="Times New Roman"/>
                <w:spacing w:val="0"/>
                <w:w w:val="100"/>
                <w:sz w:val="21"/>
                <w:szCs w:val="21"/>
                <w:lang w:val="en-US" w:eastAsia="zh-CN"/>
              </w:rPr>
            </w:pPr>
          </w:p>
        </w:tc>
        <w:tc>
          <w:tcPr>
            <w:tcW w:w="1960" w:type="dxa"/>
            <w:tcMar>
              <w:top w:w="0" w:type="dxa"/>
              <w:left w:w="108" w:type="dxa"/>
              <w:bottom w:w="0" w:type="dxa"/>
              <w:right w:w="108" w:type="dxa"/>
            </w:tcMar>
            <w:vAlign w:val="center"/>
          </w:tcPr>
          <w:p>
            <w:pPr>
              <w:widowControl w:val="0"/>
              <w:wordWrap/>
              <w:adjustRightInd/>
              <w:snapToGrid/>
              <w:spacing w:line="34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5.5社会效益</w:t>
            </w:r>
          </w:p>
        </w:tc>
        <w:tc>
          <w:tcPr>
            <w:tcW w:w="9945" w:type="dxa"/>
            <w:vAlign w:val="top"/>
          </w:tcPr>
          <w:p>
            <w:pPr>
              <w:widowControl w:val="0"/>
              <w:numPr>
                <w:ilvl w:val="0"/>
                <w:numId w:val="109"/>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说明班组开展保护生态环境、减少资源消耗、保障国家安全等社会责任方面的情况。</w:t>
            </w:r>
          </w:p>
          <w:p>
            <w:pPr>
              <w:widowControl w:val="0"/>
              <w:numPr>
                <w:ilvl w:val="0"/>
                <w:numId w:val="109"/>
              </w:numPr>
              <w:wordWrap/>
              <w:adjustRightInd/>
              <w:snapToGrid/>
              <w:spacing w:line="340" w:lineRule="exact"/>
              <w:ind w:left="225" w:leftChars="0" w:hanging="225" w:firstLineChars="0"/>
              <w:jc w:val="both"/>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说明班组管理模式、方法或制度推广应用情况及成效。</w:t>
            </w:r>
          </w:p>
        </w:tc>
        <w:tc>
          <w:tcPr>
            <w:tcW w:w="126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926" w:type="dxa"/>
            <w:gridSpan w:val="4"/>
            <w:vAlign w:val="center"/>
          </w:tcPr>
          <w:p>
            <w:pPr>
              <w:widowControl w:val="0"/>
              <w:numPr>
                <w:ilvl w:val="0"/>
                <w:numId w:val="0"/>
              </w:numPr>
              <w:wordWrap/>
              <w:adjustRightInd/>
              <w:snapToGrid/>
              <w:spacing w:line="340" w:lineRule="exact"/>
              <w:ind w:leftChars="0"/>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合计</w:t>
            </w:r>
          </w:p>
        </w:tc>
        <w:tc>
          <w:tcPr>
            <w:tcW w:w="1263" w:type="dxa"/>
            <w:vAlign w:val="center"/>
          </w:tcPr>
          <w:p>
            <w:pPr>
              <w:widowControl w:val="0"/>
              <w:wordWrap/>
              <w:adjustRightInd/>
              <w:snapToGrid/>
              <w:spacing w:line="300" w:lineRule="exact"/>
              <w:jc w:val="center"/>
              <w:textAlignment w:val="auto"/>
              <w:rPr>
                <w:rFonts w:hint="default" w:ascii="Times New Roman" w:hAnsi="Times New Roman" w:eastAsia="宋体" w:cs="Times New Roman"/>
                <w:spacing w:val="0"/>
                <w:w w:val="100"/>
                <w:sz w:val="21"/>
                <w:szCs w:val="21"/>
                <w:lang w:val="en-US" w:eastAsia="zh-CN"/>
              </w:rPr>
            </w:pPr>
            <w:r>
              <w:rPr>
                <w:rFonts w:hint="default" w:ascii="Times New Roman" w:hAnsi="Times New Roman" w:eastAsia="宋体" w:cs="Times New Roman"/>
                <w:spacing w:val="0"/>
                <w:w w:val="100"/>
                <w:sz w:val="21"/>
                <w:szCs w:val="21"/>
                <w:lang w:val="en-US" w:eastAsia="zh-CN"/>
              </w:rPr>
              <w:t>1000分</w:t>
            </w:r>
          </w:p>
        </w:tc>
      </w:tr>
    </w:tbl>
    <w:p>
      <w:pPr>
        <w:wordWrap/>
        <w:adjustRightInd/>
        <w:snapToGrid/>
        <w:spacing w:line="320" w:lineRule="exact"/>
        <w:textAlignment w:val="auto"/>
        <w:rPr>
          <w:rFonts w:hint="eastAsia" w:ascii="Times New Roman" w:hAnsi="Times New Roman" w:eastAsia="黑体" w:cs="黑体"/>
          <w:sz w:val="32"/>
          <w:szCs w:val="32"/>
          <w:lang w:val="en-US" w:eastAsia="zh-CN"/>
        </w:rPr>
      </w:pPr>
    </w:p>
    <w:p>
      <w:pPr>
        <w:wordWrap/>
        <w:adjustRightInd/>
        <w:snapToGrid/>
        <w:spacing w:line="320" w:lineRule="exact"/>
        <w:textAlignment w:val="auto"/>
        <w:rPr>
          <w:rFonts w:hint="eastAsia" w:ascii="Times New Roman" w:hAnsi="Times New Roman" w:eastAsia="黑体" w:cs="黑体"/>
          <w:sz w:val="32"/>
          <w:szCs w:val="32"/>
          <w:lang w:val="en-US" w:eastAsia="zh-CN"/>
        </w:rPr>
      </w:pPr>
    </w:p>
    <w:p>
      <w:pPr>
        <w:wordWrap/>
        <w:adjustRightInd/>
        <w:snapToGrid/>
        <w:spacing w:line="320" w:lineRule="exact"/>
        <w:textAlignment w:val="auto"/>
        <w:rPr>
          <w:rFonts w:hint="eastAsia" w:ascii="Times New Roman" w:hAnsi="Times New Roman" w:eastAsia="黑体" w:cs="黑体"/>
          <w:sz w:val="32"/>
          <w:szCs w:val="32"/>
          <w:lang w:val="en-US" w:eastAsia="zh-CN"/>
        </w:rPr>
      </w:pPr>
    </w:p>
    <w:p>
      <w:pPr>
        <w:wordWrap/>
        <w:adjustRightInd/>
        <w:snapToGrid/>
        <w:spacing w:line="320" w:lineRule="exact"/>
        <w:textAlignment w:val="auto"/>
        <w:rPr>
          <w:rFonts w:hint="eastAsia" w:ascii="Times New Roman" w:hAnsi="Times New Roman" w:eastAsia="黑体" w:cs="黑体"/>
          <w:sz w:val="32"/>
          <w:szCs w:val="32"/>
          <w:lang w:val="en-US" w:eastAsia="zh-CN"/>
        </w:rPr>
      </w:pPr>
    </w:p>
    <w:p>
      <w:pPr>
        <w:wordWrap/>
        <w:adjustRightInd/>
        <w:snapToGrid/>
        <w:spacing w:line="320" w:lineRule="exact"/>
        <w:textAlignment w:val="auto"/>
        <w:rPr>
          <w:rFonts w:hint="eastAsia" w:ascii="Times New Roman" w:hAnsi="Times New Roman" w:eastAsia="黑体" w:cs="黑体"/>
          <w:sz w:val="32"/>
          <w:szCs w:val="32"/>
          <w:lang w:val="en-US" w:eastAsia="zh-CN"/>
        </w:rPr>
      </w:pPr>
    </w:p>
    <w:p>
      <w:pPr>
        <w:wordWrap/>
        <w:adjustRightInd/>
        <w:snapToGrid/>
        <w:spacing w:line="320" w:lineRule="exact"/>
        <w:textAlignment w:val="auto"/>
        <w:rPr>
          <w:rFonts w:hint="eastAsia" w:ascii="Times New Roman" w:hAnsi="Times New Roman" w:eastAsia="黑体" w:cs="黑体"/>
          <w:sz w:val="32"/>
          <w:szCs w:val="32"/>
          <w:lang w:val="en-US" w:eastAsia="zh-CN"/>
        </w:rPr>
      </w:pPr>
    </w:p>
    <w:p>
      <w:pPr>
        <w:wordWrap/>
        <w:adjustRightInd/>
        <w:snapToGrid/>
        <w:spacing w:line="320" w:lineRule="exact"/>
        <w:textAlignment w:val="auto"/>
        <w:rPr>
          <w:rFonts w:hint="eastAsia" w:ascii="Times New Roman" w:hAnsi="Times New Roman" w:eastAsia="黑体" w:cs="黑体"/>
          <w:sz w:val="32"/>
          <w:szCs w:val="32"/>
          <w:lang w:val="en-US" w:eastAsia="zh-CN"/>
        </w:rPr>
      </w:pPr>
    </w:p>
    <w:p>
      <w:pPr>
        <w:wordWrap/>
        <w:adjustRightInd/>
        <w:snapToGrid/>
        <w:spacing w:line="320" w:lineRule="exact"/>
        <w:textAlignment w:val="auto"/>
        <w:rPr>
          <w:rFonts w:hint="eastAsia" w:ascii="Times New Roman" w:hAnsi="Times New Roman" w:eastAsia="黑体" w:cs="黑体"/>
          <w:sz w:val="32"/>
          <w:szCs w:val="32"/>
          <w:lang w:val="en-US" w:eastAsia="zh-CN"/>
        </w:rPr>
      </w:pPr>
    </w:p>
    <w:p>
      <w:pPr>
        <w:wordWrap/>
        <w:adjustRightInd/>
        <w:snapToGrid/>
        <w:spacing w:line="320" w:lineRule="exact"/>
        <w:textAlignment w:val="auto"/>
        <w:rPr>
          <w:rFonts w:hint="eastAsia" w:ascii="Times New Roman" w:hAnsi="Times New Roman" w:eastAsia="黑体" w:cs="黑体"/>
          <w:sz w:val="32"/>
          <w:szCs w:val="32"/>
          <w:lang w:val="en-US" w:eastAsia="zh-CN"/>
        </w:rPr>
      </w:pPr>
    </w:p>
    <w:p>
      <w:pPr>
        <w:wordWrap/>
        <w:adjustRightInd/>
        <w:snapToGrid/>
        <w:spacing w:line="320" w:lineRule="exact"/>
        <w:textAlignment w:val="auto"/>
        <w:rPr>
          <w:rFonts w:hint="eastAsia" w:ascii="Times New Roman" w:hAnsi="Times New Roman" w:eastAsia="黑体" w:cs="黑体"/>
          <w:sz w:val="32"/>
          <w:szCs w:val="32"/>
          <w:lang w:val="en-US" w:eastAsia="zh-CN"/>
        </w:rPr>
      </w:pPr>
    </w:p>
    <w:p>
      <w:pPr>
        <w:wordWrap/>
        <w:adjustRightInd/>
        <w:snapToGrid/>
        <w:spacing w:line="320" w:lineRule="exact"/>
        <w:textAlignment w:val="auto"/>
        <w:rPr>
          <w:rFonts w:hint="eastAsia" w:ascii="Times New Roman" w:hAnsi="Times New Roman" w:eastAsia="黑体" w:cs="黑体"/>
          <w:sz w:val="32"/>
          <w:szCs w:val="32"/>
          <w:lang w:val="en-US" w:eastAsia="zh-CN"/>
        </w:rPr>
      </w:pPr>
    </w:p>
    <w:p>
      <w:pPr>
        <w:wordWrap/>
        <w:adjustRightInd/>
        <w:snapToGrid/>
        <w:spacing w:line="320" w:lineRule="exact"/>
        <w:textAlignment w:val="auto"/>
        <w:rPr>
          <w:rFonts w:hint="eastAsia" w:ascii="Times New Roman" w:hAnsi="Times New Roman" w:eastAsia="黑体" w:cs="黑体"/>
          <w:sz w:val="32"/>
          <w:szCs w:val="32"/>
          <w:lang w:val="en-US" w:eastAsia="zh-CN"/>
        </w:rPr>
      </w:pPr>
    </w:p>
    <w:p>
      <w:pPr>
        <w:wordWrap/>
        <w:adjustRightInd/>
        <w:snapToGrid/>
        <w:spacing w:line="320" w:lineRule="exact"/>
        <w:textAlignment w:val="auto"/>
        <w:rPr>
          <w:rFonts w:hint="eastAsia" w:ascii="Times New Roman" w:hAnsi="Times New Roman" w:eastAsia="黑体" w:cs="黑体"/>
          <w:sz w:val="32"/>
          <w:szCs w:val="32"/>
          <w:lang w:val="en-US" w:eastAsia="zh-CN"/>
        </w:rPr>
      </w:pPr>
    </w:p>
    <w:p>
      <w:pPr>
        <w:wordWrap/>
        <w:adjustRightInd/>
        <w:snapToGrid/>
        <w:spacing w:line="320" w:lineRule="exact"/>
        <w:textAlignment w:val="auto"/>
        <w:rPr>
          <w:rFonts w:hint="eastAsia" w:ascii="Times New Roman" w:hAnsi="Times New Roman" w:eastAsia="黑体" w:cs="黑体"/>
          <w:sz w:val="32"/>
          <w:szCs w:val="32"/>
          <w:lang w:val="en-US" w:eastAsia="zh-CN"/>
        </w:rPr>
      </w:pPr>
    </w:p>
    <w:p>
      <w:pPr>
        <w:wordWrap/>
        <w:adjustRightInd/>
        <w:snapToGrid/>
        <w:spacing w:line="320" w:lineRule="exact"/>
        <w:textAlignment w:val="auto"/>
        <w:rPr>
          <w:rFonts w:hint="eastAsia" w:ascii="Times New Roman" w:hAnsi="Times New Roman" w:eastAsia="黑体" w:cs="黑体"/>
          <w:sz w:val="32"/>
          <w:szCs w:val="32"/>
          <w:lang w:val="en-US" w:eastAsia="zh-CN"/>
        </w:rPr>
      </w:pPr>
    </w:p>
    <w:p>
      <w:pPr>
        <w:wordWrap/>
        <w:adjustRightInd/>
        <w:snapToGrid/>
        <w:spacing w:line="320" w:lineRule="exact"/>
        <w:textAlignment w:val="auto"/>
        <w:rPr>
          <w:rFonts w:hint="eastAsia" w:ascii="Times New Roman" w:hAnsi="Times New Roman" w:eastAsia="黑体" w:cs="黑体"/>
          <w:sz w:val="32"/>
          <w:szCs w:val="32"/>
          <w:lang w:val="en-US" w:eastAsia="zh-CN"/>
        </w:rPr>
      </w:pPr>
    </w:p>
    <w:p>
      <w:pPr>
        <w:wordWrap/>
        <w:adjustRightInd/>
        <w:snapToGrid/>
        <w:spacing w:line="320" w:lineRule="exact"/>
        <w:textAlignment w:val="auto"/>
        <w:rPr>
          <w:rFonts w:hint="eastAsia" w:ascii="Times New Roman" w:hAnsi="Times New Roman" w:eastAsia="黑体" w:cs="黑体"/>
          <w:sz w:val="32"/>
          <w:szCs w:val="32"/>
          <w:lang w:val="en-US" w:eastAsia="zh-CN"/>
        </w:rPr>
      </w:pPr>
    </w:p>
    <w:p>
      <w:pPr>
        <w:wordWrap/>
        <w:adjustRightInd/>
        <w:snapToGrid/>
        <w:spacing w:line="320" w:lineRule="exact"/>
        <w:textAlignment w:val="auto"/>
        <w:rPr>
          <w:rFonts w:hint="eastAsia"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t>附件7</w:t>
      </w:r>
    </w:p>
    <w:p>
      <w:pPr>
        <w:widowControl w:val="0"/>
        <w:wordWrap/>
        <w:adjustRightInd/>
        <w:snapToGrid/>
        <w:spacing w:line="580" w:lineRule="exact"/>
        <w:jc w:val="center"/>
        <w:textAlignment w:val="auto"/>
        <w:rPr>
          <w:rFonts w:hint="eastAsia" w:ascii="Times New Roman" w:hAnsi="Times New Roman" w:eastAsia="方正小标宋简体" w:cs="方正小标宋简体"/>
          <w:sz w:val="44"/>
          <w:szCs w:val="44"/>
          <w:lang w:val="en-US" w:eastAsia="zh-CN"/>
        </w:rPr>
      </w:pPr>
      <w:r>
        <w:rPr>
          <w:rFonts w:hint="eastAsia" w:ascii="Times New Roman" w:hAnsi="Times New Roman" w:eastAsia="方正小标宋简体" w:cs="方正小标宋简体"/>
          <w:sz w:val="44"/>
          <w:szCs w:val="44"/>
          <w:lang w:val="en-US" w:eastAsia="zh-CN"/>
        </w:rPr>
        <w:t>广东省政府质量奖（组织）评分权重</w:t>
      </w:r>
    </w:p>
    <w:tbl>
      <w:tblPr>
        <w:tblStyle w:val="8"/>
        <w:tblW w:w="14745" w:type="dxa"/>
        <w:tblCellSpacing w:w="0" w:type="dxa"/>
        <w:tblInd w:w="-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38"/>
        <w:gridCol w:w="1000"/>
        <w:gridCol w:w="2040"/>
        <w:gridCol w:w="2083"/>
        <w:gridCol w:w="2469"/>
        <w:gridCol w:w="1885"/>
        <w:gridCol w:w="2313"/>
        <w:gridCol w:w="23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7" w:hRule="atLeast"/>
          <w:tblCellSpacing w:w="0" w:type="dxa"/>
        </w:trPr>
        <w:tc>
          <w:tcPr>
            <w:tcW w:w="638" w:type="dxa"/>
            <w:vMerge w:val="restart"/>
            <w:tcBorders>
              <w:tl2br w:val="nil"/>
              <w:tr2bl w:val="nil"/>
            </w:tcBorders>
            <w:tcMar>
              <w:left w:w="108" w:type="dxa"/>
              <w:right w:w="108" w:type="dxa"/>
            </w:tcMar>
            <w:vAlign w:val="center"/>
          </w:tcPr>
          <w:p>
            <w:pPr>
              <w:pStyle w:val="7"/>
              <w:widowControl/>
              <w:wordWrap/>
              <w:adjustRightInd/>
              <w:snapToGrid/>
              <w:spacing w:before="0" w:beforeAutospacing="0" w:after="0" w:afterAutospacing="0" w:line="320" w:lineRule="exact"/>
              <w:ind w:right="0"/>
              <w:jc w:val="center"/>
              <w:textAlignment w:val="auto"/>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kern w:val="2"/>
                <w:sz w:val="18"/>
                <w:szCs w:val="18"/>
                <w:lang w:val="en-US" w:eastAsia="zh-CN" w:bidi="ar-SA"/>
              </w:rPr>
              <w:t>序号</w:t>
            </w:r>
          </w:p>
        </w:tc>
        <w:tc>
          <w:tcPr>
            <w:tcW w:w="1000" w:type="dxa"/>
            <w:vMerge w:val="restart"/>
            <w:tcBorders>
              <w:tl2br w:val="nil"/>
              <w:tr2bl w:val="nil"/>
            </w:tcBorders>
            <w:tcMar>
              <w:left w:w="108" w:type="dxa"/>
              <w:right w:w="108" w:type="dxa"/>
            </w:tcMar>
            <w:vAlign w:val="center"/>
          </w:tcPr>
          <w:p>
            <w:pPr>
              <w:pStyle w:val="7"/>
              <w:widowControl/>
              <w:wordWrap/>
              <w:adjustRightInd/>
              <w:snapToGrid/>
              <w:spacing w:before="0" w:beforeAutospacing="0" w:after="0" w:afterAutospacing="0" w:line="320" w:lineRule="exact"/>
              <w:jc w:val="center"/>
              <w:textAlignment w:val="auto"/>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kern w:val="2"/>
                <w:sz w:val="18"/>
                <w:szCs w:val="18"/>
                <w:lang w:val="en-US" w:eastAsia="zh-CN" w:bidi="ar-SA"/>
              </w:rPr>
              <w:t>评分</w:t>
            </w:r>
          </w:p>
          <w:p>
            <w:pPr>
              <w:pStyle w:val="7"/>
              <w:widowControl/>
              <w:wordWrap/>
              <w:adjustRightInd/>
              <w:snapToGrid/>
              <w:spacing w:before="0" w:beforeAutospacing="0" w:after="0" w:afterAutospacing="0" w:line="320" w:lineRule="exact"/>
              <w:jc w:val="center"/>
              <w:textAlignment w:val="auto"/>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kern w:val="2"/>
                <w:sz w:val="18"/>
                <w:szCs w:val="18"/>
                <w:lang w:val="en-US" w:eastAsia="zh-CN" w:bidi="ar-SA"/>
              </w:rPr>
              <w:t>权重</w:t>
            </w:r>
          </w:p>
        </w:tc>
        <w:tc>
          <w:tcPr>
            <w:tcW w:w="6592" w:type="dxa"/>
            <w:gridSpan w:val="3"/>
            <w:tcBorders>
              <w:tl2br w:val="nil"/>
              <w:tr2bl w:val="nil"/>
            </w:tcBorders>
            <w:tcMar>
              <w:left w:w="108" w:type="dxa"/>
              <w:right w:w="108" w:type="dxa"/>
            </w:tcMar>
            <w:vAlign w:val="center"/>
          </w:tcPr>
          <w:p>
            <w:pPr>
              <w:pStyle w:val="7"/>
              <w:widowControl/>
              <w:wordWrap/>
              <w:adjustRightInd/>
              <w:snapToGrid/>
              <w:spacing w:before="0" w:beforeAutospacing="0" w:after="0" w:afterAutospacing="0" w:line="320" w:lineRule="exact"/>
              <w:jc w:val="center"/>
              <w:textAlignment w:val="auto"/>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kern w:val="2"/>
                <w:sz w:val="18"/>
                <w:szCs w:val="18"/>
                <w:lang w:val="en-US" w:eastAsia="zh-CN" w:bidi="ar-SA"/>
              </w:rPr>
              <w:t>领导（班组建设）、质量、创新和品牌四部分评分标准</w:t>
            </w:r>
          </w:p>
        </w:tc>
        <w:tc>
          <w:tcPr>
            <w:tcW w:w="6515" w:type="dxa"/>
            <w:gridSpan w:val="3"/>
            <w:tcBorders>
              <w:tl2br w:val="nil"/>
              <w:tr2bl w:val="nil"/>
            </w:tcBorders>
            <w:tcMar>
              <w:left w:w="108" w:type="dxa"/>
              <w:right w:w="108" w:type="dxa"/>
            </w:tcMar>
            <w:vAlign w:val="center"/>
          </w:tcPr>
          <w:p>
            <w:pPr>
              <w:pStyle w:val="7"/>
              <w:widowControl/>
              <w:wordWrap/>
              <w:adjustRightInd/>
              <w:snapToGrid/>
              <w:spacing w:before="0" w:beforeAutospacing="0" w:after="0" w:afterAutospacing="0" w:line="320" w:lineRule="exact"/>
              <w:jc w:val="center"/>
              <w:textAlignment w:val="auto"/>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kern w:val="2"/>
                <w:sz w:val="18"/>
                <w:szCs w:val="18"/>
                <w:lang w:val="en-US" w:eastAsia="zh-CN" w:bidi="ar-SA"/>
              </w:rPr>
              <w:t>效益部分评分标准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0" w:hRule="atLeast"/>
          <w:tblCellSpacing w:w="0" w:type="dxa"/>
        </w:trPr>
        <w:tc>
          <w:tcPr>
            <w:tcW w:w="638" w:type="dxa"/>
            <w:vMerge w:val="continue"/>
            <w:tcBorders>
              <w:tl2br w:val="nil"/>
              <w:tr2bl w:val="nil"/>
            </w:tcBorders>
            <w:tcMar>
              <w:left w:w="108" w:type="dxa"/>
              <w:right w:w="108" w:type="dxa"/>
            </w:tcMar>
            <w:vAlign w:val="center"/>
          </w:tcPr>
          <w:p>
            <w:pPr>
              <w:widowControl w:val="0"/>
              <w:wordWrap/>
              <w:adjustRightInd/>
              <w:snapToGrid/>
              <w:spacing w:beforeAutospacing="0" w:afterAutospacing="0" w:line="320" w:lineRule="exact"/>
              <w:jc w:val="center"/>
              <w:textAlignment w:val="auto"/>
              <w:rPr>
                <w:rFonts w:hint="default" w:ascii="Times New Roman" w:hAnsi="Times New Roman" w:eastAsia="宋体" w:cs="Times New Roman"/>
                <w:kern w:val="2"/>
                <w:sz w:val="18"/>
                <w:szCs w:val="18"/>
                <w:lang w:val="en-US" w:eastAsia="zh-CN" w:bidi="ar-SA"/>
              </w:rPr>
            </w:pPr>
          </w:p>
        </w:tc>
        <w:tc>
          <w:tcPr>
            <w:tcW w:w="1000" w:type="dxa"/>
            <w:vMerge w:val="continue"/>
            <w:tcBorders>
              <w:tl2br w:val="nil"/>
              <w:tr2bl w:val="nil"/>
            </w:tcBorders>
            <w:tcMar>
              <w:left w:w="108" w:type="dxa"/>
              <w:right w:w="108" w:type="dxa"/>
            </w:tcMar>
            <w:vAlign w:val="center"/>
          </w:tcPr>
          <w:p>
            <w:pPr>
              <w:widowControl w:val="0"/>
              <w:wordWrap/>
              <w:adjustRightInd/>
              <w:snapToGrid/>
              <w:spacing w:beforeAutospacing="0" w:afterAutospacing="0" w:line="320" w:lineRule="exact"/>
              <w:jc w:val="center"/>
              <w:textAlignment w:val="auto"/>
              <w:rPr>
                <w:rFonts w:hint="default" w:ascii="Times New Roman" w:hAnsi="Times New Roman" w:eastAsia="宋体" w:cs="Times New Roman"/>
                <w:kern w:val="2"/>
                <w:sz w:val="18"/>
                <w:szCs w:val="18"/>
                <w:lang w:val="en-US" w:eastAsia="zh-CN" w:bidi="ar-SA"/>
              </w:rPr>
            </w:pPr>
          </w:p>
        </w:tc>
        <w:tc>
          <w:tcPr>
            <w:tcW w:w="2040" w:type="dxa"/>
            <w:tcBorders>
              <w:tl2br w:val="nil"/>
              <w:tr2bl w:val="nil"/>
            </w:tcBorders>
            <w:tcMar>
              <w:left w:w="108" w:type="dxa"/>
              <w:right w:w="108" w:type="dxa"/>
            </w:tcMar>
            <w:vAlign w:val="center"/>
          </w:tcPr>
          <w:p>
            <w:pPr>
              <w:widowControl w:val="0"/>
              <w:wordWrap/>
              <w:adjustRightInd/>
              <w:snapToGrid/>
              <w:spacing w:beforeAutospacing="0" w:afterAutospacing="0" w:line="320" w:lineRule="exact"/>
              <w:jc w:val="center"/>
              <w:textAlignment w:val="auto"/>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kern w:val="2"/>
                <w:sz w:val="18"/>
                <w:szCs w:val="18"/>
                <w:lang w:val="en-US" w:eastAsia="zh-CN" w:bidi="ar-SA"/>
              </w:rPr>
              <w:t>方法（完整性、适宜性和有效性）</w:t>
            </w:r>
          </w:p>
        </w:tc>
        <w:tc>
          <w:tcPr>
            <w:tcW w:w="2083" w:type="dxa"/>
            <w:tcBorders>
              <w:tl2br w:val="nil"/>
              <w:tr2bl w:val="nil"/>
            </w:tcBorders>
            <w:tcMar>
              <w:left w:w="108" w:type="dxa"/>
              <w:right w:w="108" w:type="dxa"/>
            </w:tcMar>
            <w:vAlign w:val="center"/>
          </w:tcPr>
          <w:p>
            <w:pPr>
              <w:widowControl w:val="0"/>
              <w:wordWrap/>
              <w:adjustRightInd/>
              <w:snapToGrid/>
              <w:spacing w:beforeAutospacing="0" w:afterAutospacing="0" w:line="320" w:lineRule="exact"/>
              <w:jc w:val="center"/>
              <w:textAlignment w:val="auto"/>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kern w:val="2"/>
                <w:sz w:val="18"/>
                <w:szCs w:val="18"/>
                <w:lang w:val="en-US" w:eastAsia="zh-CN" w:bidi="ar-SA"/>
              </w:rPr>
              <w:t>实施（一致性、彻底性和灵活性）</w:t>
            </w:r>
          </w:p>
        </w:tc>
        <w:tc>
          <w:tcPr>
            <w:tcW w:w="2469" w:type="dxa"/>
            <w:tcBorders>
              <w:tl2br w:val="nil"/>
              <w:tr2bl w:val="nil"/>
            </w:tcBorders>
            <w:tcMar>
              <w:left w:w="108" w:type="dxa"/>
              <w:right w:w="108" w:type="dxa"/>
            </w:tcMar>
            <w:vAlign w:val="center"/>
          </w:tcPr>
          <w:p>
            <w:pPr>
              <w:widowControl w:val="0"/>
              <w:wordWrap/>
              <w:adjustRightInd/>
              <w:snapToGrid/>
              <w:spacing w:beforeAutospacing="0" w:afterAutospacing="0" w:line="320" w:lineRule="exact"/>
              <w:jc w:val="center"/>
              <w:textAlignment w:val="auto"/>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kern w:val="2"/>
                <w:sz w:val="18"/>
                <w:szCs w:val="18"/>
                <w:lang w:val="en-US" w:eastAsia="zh-CN" w:bidi="ar-SA"/>
              </w:rPr>
              <w:t>评估与改善（周期性、连续性和创新性）</w:t>
            </w:r>
          </w:p>
        </w:tc>
        <w:tc>
          <w:tcPr>
            <w:tcW w:w="1885" w:type="dxa"/>
            <w:tcBorders>
              <w:tl2br w:val="nil"/>
              <w:tr2bl w:val="nil"/>
            </w:tcBorders>
            <w:tcMar>
              <w:left w:w="108" w:type="dxa"/>
              <w:right w:w="108" w:type="dxa"/>
            </w:tcMar>
            <w:vAlign w:val="center"/>
          </w:tcPr>
          <w:p>
            <w:pPr>
              <w:widowControl w:val="0"/>
              <w:wordWrap/>
              <w:adjustRightInd/>
              <w:snapToGrid/>
              <w:spacing w:beforeAutospacing="0" w:afterAutospacing="0" w:line="320" w:lineRule="exact"/>
              <w:jc w:val="center"/>
              <w:textAlignment w:val="auto"/>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kern w:val="2"/>
                <w:sz w:val="18"/>
                <w:szCs w:val="18"/>
                <w:lang w:val="en-US" w:eastAsia="zh-CN" w:bidi="ar-SA"/>
              </w:rPr>
              <w:t>当前状态</w:t>
            </w:r>
          </w:p>
        </w:tc>
        <w:tc>
          <w:tcPr>
            <w:tcW w:w="2313" w:type="dxa"/>
            <w:tcBorders>
              <w:tl2br w:val="nil"/>
              <w:tr2bl w:val="nil"/>
            </w:tcBorders>
            <w:tcMar>
              <w:left w:w="108" w:type="dxa"/>
              <w:right w:w="108" w:type="dxa"/>
            </w:tcMar>
            <w:vAlign w:val="center"/>
          </w:tcPr>
          <w:p>
            <w:pPr>
              <w:widowControl w:val="0"/>
              <w:wordWrap/>
              <w:adjustRightInd/>
              <w:snapToGrid/>
              <w:spacing w:beforeAutospacing="0" w:afterAutospacing="0" w:line="320" w:lineRule="exact"/>
              <w:jc w:val="center"/>
              <w:textAlignment w:val="auto"/>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kern w:val="2"/>
                <w:sz w:val="18"/>
                <w:szCs w:val="18"/>
                <w:lang w:val="en-US" w:eastAsia="zh-CN" w:bidi="ar-SA"/>
              </w:rPr>
              <w:t>对比评价</w:t>
            </w:r>
          </w:p>
        </w:tc>
        <w:tc>
          <w:tcPr>
            <w:tcW w:w="2317" w:type="dxa"/>
            <w:tcBorders>
              <w:tl2br w:val="nil"/>
              <w:tr2bl w:val="nil"/>
            </w:tcBorders>
            <w:tcMar>
              <w:left w:w="108" w:type="dxa"/>
              <w:right w:w="108" w:type="dxa"/>
            </w:tcMar>
            <w:vAlign w:val="center"/>
          </w:tcPr>
          <w:p>
            <w:pPr>
              <w:widowControl w:val="0"/>
              <w:wordWrap/>
              <w:adjustRightInd/>
              <w:snapToGrid/>
              <w:spacing w:beforeAutospacing="0" w:afterAutospacing="0" w:line="320" w:lineRule="exact"/>
              <w:jc w:val="center"/>
              <w:textAlignment w:val="auto"/>
              <w:rPr>
                <w:rFonts w:hint="default" w:ascii="Times New Roman" w:hAnsi="Times New Roman" w:eastAsia="宋体" w:cs="Times New Roman"/>
                <w:kern w:val="2"/>
                <w:sz w:val="18"/>
                <w:szCs w:val="18"/>
                <w:lang w:val="en-US" w:eastAsia="zh-CN" w:bidi="ar-SA"/>
              </w:rPr>
            </w:pPr>
            <w:r>
              <w:rPr>
                <w:rFonts w:hint="default" w:ascii="Times New Roman" w:hAnsi="Times New Roman" w:eastAsia="宋体" w:cs="Times New Roman"/>
                <w:kern w:val="2"/>
                <w:sz w:val="18"/>
                <w:szCs w:val="18"/>
                <w:lang w:val="en-US" w:eastAsia="zh-CN" w:bidi="ar-SA"/>
              </w:rPr>
              <w:t>发展趋势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93" w:hRule="atLeast"/>
          <w:tblCellSpacing w:w="0" w:type="dxa"/>
        </w:trPr>
        <w:tc>
          <w:tcPr>
            <w:tcW w:w="638" w:type="dxa"/>
            <w:tcBorders>
              <w:tl2br w:val="nil"/>
              <w:tr2bl w:val="nil"/>
            </w:tcBorders>
            <w:tcMar>
              <w:left w:w="108" w:type="dxa"/>
              <w:right w:w="108" w:type="dxa"/>
            </w:tcMar>
            <w:vAlign w:val="center"/>
          </w:tcPr>
          <w:p>
            <w:pPr>
              <w:pStyle w:val="7"/>
              <w:widowControl/>
              <w:wordWrap/>
              <w:adjustRightInd/>
              <w:snapToGrid/>
              <w:spacing w:before="0" w:beforeAutospacing="0" w:after="0" w:afterAutospacing="0" w:line="320" w:lineRule="exact"/>
              <w:jc w:val="center"/>
              <w:textAlignment w:val="auto"/>
              <w:rPr>
                <w:rFonts w:hint="default" w:ascii="Times New Roman" w:hAnsi="Times New Roman" w:eastAsia="宋体" w:cs="Times New Roman"/>
                <w:sz w:val="18"/>
                <w:szCs w:val="18"/>
              </w:rPr>
            </w:pPr>
            <w:r>
              <w:rPr>
                <w:rFonts w:hint="default" w:ascii="Times New Roman" w:hAnsi="Times New Roman" w:eastAsia="宋体" w:cs="Times New Roman"/>
                <w:color w:val="000000"/>
                <w:sz w:val="18"/>
                <w:szCs w:val="18"/>
              </w:rPr>
              <w:t>1</w:t>
            </w:r>
          </w:p>
        </w:tc>
        <w:tc>
          <w:tcPr>
            <w:tcW w:w="1000" w:type="dxa"/>
            <w:tcBorders>
              <w:tl2br w:val="nil"/>
              <w:tr2bl w:val="nil"/>
            </w:tcBorders>
            <w:tcMar>
              <w:left w:w="108" w:type="dxa"/>
              <w:right w:w="108" w:type="dxa"/>
            </w:tcMar>
            <w:vAlign w:val="center"/>
          </w:tcPr>
          <w:p>
            <w:pPr>
              <w:pStyle w:val="7"/>
              <w:widowControl/>
              <w:wordWrap/>
              <w:adjustRightInd/>
              <w:snapToGrid/>
              <w:spacing w:before="0" w:beforeAutospacing="0" w:after="0" w:afterAutospacing="0" w:line="320" w:lineRule="exact"/>
              <w:jc w:val="both"/>
              <w:textAlignment w:val="auto"/>
              <w:rPr>
                <w:rFonts w:hint="default" w:ascii="Times New Roman" w:hAnsi="Times New Roman" w:eastAsia="宋体" w:cs="Times New Roman"/>
                <w:sz w:val="18"/>
                <w:szCs w:val="18"/>
              </w:rPr>
            </w:pPr>
            <w:r>
              <w:rPr>
                <w:rFonts w:hint="default" w:ascii="Times New Roman" w:hAnsi="Times New Roman" w:eastAsia="宋体" w:cs="Times New Roman"/>
                <w:color w:val="000000"/>
                <w:sz w:val="18"/>
                <w:szCs w:val="18"/>
              </w:rPr>
              <w:t>0%，5%或10%</w:t>
            </w:r>
          </w:p>
        </w:tc>
        <w:tc>
          <w:tcPr>
            <w:tcW w:w="2040" w:type="dxa"/>
            <w:tcBorders>
              <w:tl2br w:val="nil"/>
              <w:tr2bl w:val="nil"/>
            </w:tcBorders>
            <w:tcMar>
              <w:left w:w="108" w:type="dxa"/>
              <w:right w:w="108" w:type="dxa"/>
            </w:tcMar>
            <w:vAlign w:val="top"/>
          </w:tcPr>
          <w:p>
            <w:pPr>
              <w:pStyle w:val="7"/>
              <w:widowControl/>
              <w:wordWrap/>
              <w:adjustRightInd/>
              <w:snapToGrid/>
              <w:spacing w:before="0" w:beforeAutospacing="0" w:after="0" w:afterAutospacing="0" w:line="320" w:lineRule="exact"/>
              <w:jc w:val="both"/>
              <w:textAlignment w:val="auto"/>
              <w:rPr>
                <w:rFonts w:hint="default" w:ascii="Times New Roman" w:hAnsi="Times New Roman" w:eastAsia="宋体" w:cs="Times New Roman"/>
                <w:sz w:val="18"/>
                <w:szCs w:val="18"/>
              </w:rPr>
            </w:pPr>
            <w:r>
              <w:rPr>
                <w:rFonts w:hint="default" w:ascii="Times New Roman" w:hAnsi="Times New Roman" w:eastAsia="宋体" w:cs="Times New Roman"/>
                <w:color w:val="000000"/>
                <w:sz w:val="18"/>
                <w:szCs w:val="18"/>
              </w:rPr>
              <w:t>方法</w:t>
            </w:r>
            <w:r>
              <w:rPr>
                <w:rFonts w:hint="default" w:ascii="Times New Roman" w:hAnsi="Times New Roman" w:eastAsia="宋体" w:cs="Times New Roman"/>
                <w:color w:val="000000"/>
                <w:sz w:val="18"/>
                <w:szCs w:val="18"/>
                <w:lang w:val="en-US" w:eastAsia="zh-CN"/>
              </w:rPr>
              <w:t>不明确或没有方法</w:t>
            </w:r>
            <w:r>
              <w:rPr>
                <w:rFonts w:hint="default" w:ascii="Times New Roman" w:hAnsi="Times New Roman" w:eastAsia="宋体" w:cs="Times New Roman"/>
                <w:color w:val="000000"/>
                <w:sz w:val="18"/>
                <w:szCs w:val="18"/>
              </w:rPr>
              <w:t>，</w:t>
            </w:r>
            <w:r>
              <w:rPr>
                <w:rFonts w:hint="default" w:ascii="Times New Roman" w:hAnsi="Times New Roman" w:eastAsia="宋体" w:cs="Times New Roman"/>
                <w:color w:val="000000"/>
                <w:sz w:val="18"/>
                <w:szCs w:val="18"/>
                <w:lang w:val="en-US" w:eastAsia="zh-CN"/>
              </w:rPr>
              <w:t>所述</w:t>
            </w:r>
            <w:r>
              <w:rPr>
                <w:rFonts w:hint="default" w:ascii="Times New Roman" w:hAnsi="Times New Roman" w:eastAsia="宋体" w:cs="Times New Roman"/>
                <w:color w:val="000000"/>
                <w:sz w:val="18"/>
                <w:szCs w:val="18"/>
              </w:rPr>
              <w:t>信息是零散的、孤立的。</w:t>
            </w:r>
          </w:p>
        </w:tc>
        <w:tc>
          <w:tcPr>
            <w:tcW w:w="2083" w:type="dxa"/>
            <w:tcBorders>
              <w:tl2br w:val="nil"/>
              <w:tr2bl w:val="nil"/>
            </w:tcBorders>
            <w:tcMar>
              <w:left w:w="108" w:type="dxa"/>
              <w:right w:w="108" w:type="dxa"/>
            </w:tcMar>
            <w:vAlign w:val="top"/>
          </w:tcPr>
          <w:p>
            <w:pPr>
              <w:pStyle w:val="7"/>
              <w:widowControl/>
              <w:wordWrap/>
              <w:adjustRightInd/>
              <w:snapToGrid/>
              <w:spacing w:before="0" w:beforeAutospacing="0" w:after="0" w:afterAutospacing="0" w:line="320" w:lineRule="exact"/>
              <w:jc w:val="both"/>
              <w:textAlignment w:val="auto"/>
              <w:rPr>
                <w:rFonts w:hint="default" w:ascii="Times New Roman" w:hAnsi="Times New Roman" w:eastAsia="宋体" w:cs="Times New Roman"/>
                <w:sz w:val="18"/>
                <w:szCs w:val="18"/>
              </w:rPr>
            </w:pPr>
            <w:r>
              <w:rPr>
                <w:rFonts w:hint="default" w:ascii="Times New Roman" w:hAnsi="Times New Roman" w:eastAsia="宋体" w:cs="Times New Roman"/>
                <w:color w:val="000000"/>
                <w:sz w:val="18"/>
                <w:szCs w:val="18"/>
              </w:rPr>
              <w:t>没有或略有一些简略的方法得以</w:t>
            </w:r>
            <w:r>
              <w:rPr>
                <w:rFonts w:hint="default" w:ascii="Times New Roman" w:hAnsi="Times New Roman" w:eastAsia="宋体" w:cs="Times New Roman"/>
                <w:color w:val="000000"/>
                <w:sz w:val="18"/>
                <w:szCs w:val="18"/>
                <w:lang w:val="en-US" w:eastAsia="zh-CN"/>
              </w:rPr>
              <w:t>实施</w:t>
            </w:r>
            <w:r>
              <w:rPr>
                <w:rFonts w:hint="default" w:ascii="Times New Roman" w:hAnsi="Times New Roman" w:eastAsia="宋体" w:cs="Times New Roman"/>
                <w:color w:val="000000"/>
                <w:sz w:val="18"/>
                <w:szCs w:val="18"/>
              </w:rPr>
              <w:t>。</w:t>
            </w:r>
          </w:p>
        </w:tc>
        <w:tc>
          <w:tcPr>
            <w:tcW w:w="2469" w:type="dxa"/>
            <w:tcBorders>
              <w:tl2br w:val="nil"/>
              <w:tr2bl w:val="nil"/>
            </w:tcBorders>
            <w:tcMar>
              <w:left w:w="108" w:type="dxa"/>
              <w:right w:w="108" w:type="dxa"/>
            </w:tcMar>
            <w:vAlign w:val="top"/>
          </w:tcPr>
          <w:p>
            <w:pPr>
              <w:pStyle w:val="7"/>
              <w:widowControl/>
              <w:wordWrap/>
              <w:adjustRightInd/>
              <w:snapToGrid/>
              <w:spacing w:before="0" w:beforeAutospacing="0" w:after="0" w:afterAutospacing="0" w:line="320" w:lineRule="exact"/>
              <w:jc w:val="both"/>
              <w:textAlignment w:val="auto"/>
              <w:rPr>
                <w:rFonts w:hint="default" w:ascii="Times New Roman" w:hAnsi="Times New Roman" w:eastAsia="宋体" w:cs="Times New Roman"/>
                <w:sz w:val="18"/>
                <w:szCs w:val="18"/>
              </w:rPr>
            </w:pPr>
            <w:r>
              <w:rPr>
                <w:rFonts w:hint="default" w:ascii="Times New Roman" w:hAnsi="Times New Roman" w:eastAsia="宋体" w:cs="Times New Roman"/>
                <w:color w:val="000000"/>
                <w:sz w:val="18"/>
                <w:szCs w:val="18"/>
              </w:rPr>
              <w:t>不能证实</w:t>
            </w:r>
            <w:r>
              <w:rPr>
                <w:rFonts w:hint="default" w:ascii="Times New Roman" w:hAnsi="Times New Roman" w:eastAsia="宋体" w:cs="Times New Roman"/>
                <w:color w:val="000000"/>
                <w:sz w:val="18"/>
                <w:szCs w:val="18"/>
                <w:lang w:val="en-US" w:eastAsia="zh-CN"/>
              </w:rPr>
              <w:t>进行了评估或改善</w:t>
            </w:r>
            <w:r>
              <w:rPr>
                <w:rFonts w:hint="default" w:ascii="Times New Roman" w:hAnsi="Times New Roman" w:eastAsia="宋体" w:cs="Times New Roman"/>
                <w:color w:val="000000"/>
                <w:sz w:val="18"/>
                <w:szCs w:val="18"/>
                <w:lang w:eastAsia="zh-CN"/>
              </w:rPr>
              <w:t>，</w:t>
            </w:r>
            <w:r>
              <w:rPr>
                <w:rFonts w:hint="default" w:ascii="Times New Roman" w:hAnsi="Times New Roman" w:eastAsia="宋体" w:cs="Times New Roman"/>
                <w:color w:val="000000"/>
                <w:sz w:val="18"/>
                <w:szCs w:val="18"/>
                <w:lang w:val="en-US" w:eastAsia="zh-CN"/>
              </w:rPr>
              <w:t>或</w:t>
            </w:r>
            <w:r>
              <w:rPr>
                <w:rFonts w:hint="default" w:ascii="Times New Roman" w:hAnsi="Times New Roman" w:eastAsia="宋体" w:cs="Times New Roman"/>
                <w:color w:val="000000"/>
                <w:sz w:val="18"/>
                <w:szCs w:val="18"/>
              </w:rPr>
              <w:t>仅仅是对问题的被动</w:t>
            </w:r>
            <w:r>
              <w:rPr>
                <w:rFonts w:hint="default" w:ascii="Times New Roman" w:hAnsi="Times New Roman" w:eastAsia="宋体" w:cs="Times New Roman"/>
                <w:color w:val="000000"/>
                <w:sz w:val="18"/>
                <w:szCs w:val="18"/>
                <w:lang w:val="en-US" w:eastAsia="zh-CN"/>
              </w:rPr>
              <w:t>式</w:t>
            </w:r>
            <w:r>
              <w:rPr>
                <w:rFonts w:hint="default" w:ascii="Times New Roman" w:hAnsi="Times New Roman" w:eastAsia="宋体" w:cs="Times New Roman"/>
                <w:color w:val="000000"/>
                <w:sz w:val="18"/>
                <w:szCs w:val="18"/>
              </w:rPr>
              <w:t>反应。</w:t>
            </w:r>
          </w:p>
        </w:tc>
        <w:tc>
          <w:tcPr>
            <w:tcW w:w="1885" w:type="dxa"/>
            <w:tcBorders>
              <w:tl2br w:val="nil"/>
              <w:tr2bl w:val="nil"/>
            </w:tcBorders>
            <w:tcMar>
              <w:left w:w="108" w:type="dxa"/>
              <w:right w:w="108" w:type="dxa"/>
            </w:tcMar>
            <w:vAlign w:val="top"/>
          </w:tcPr>
          <w:p>
            <w:pPr>
              <w:pStyle w:val="7"/>
              <w:widowControl/>
              <w:wordWrap/>
              <w:adjustRightInd/>
              <w:snapToGrid/>
              <w:spacing w:before="0" w:beforeAutospacing="0" w:after="0" w:afterAutospacing="0" w:line="320" w:lineRule="exact"/>
              <w:jc w:val="both"/>
              <w:textAlignment w:val="auto"/>
              <w:rPr>
                <w:rFonts w:hint="default" w:ascii="Times New Roman" w:hAnsi="Times New Roman" w:eastAsia="宋体" w:cs="Times New Roman"/>
                <w:sz w:val="18"/>
                <w:szCs w:val="18"/>
              </w:rPr>
            </w:pPr>
            <w:r>
              <w:rPr>
                <w:rFonts w:hint="default" w:ascii="Times New Roman" w:hAnsi="Times New Roman" w:eastAsia="宋体" w:cs="Times New Roman"/>
                <w:color w:val="000000"/>
                <w:sz w:val="18"/>
                <w:szCs w:val="18"/>
              </w:rPr>
              <w:t>没有</w:t>
            </w:r>
            <w:r>
              <w:rPr>
                <w:rFonts w:hint="default" w:ascii="Times New Roman" w:hAnsi="Times New Roman" w:eastAsia="宋体" w:cs="Times New Roman"/>
                <w:color w:val="000000"/>
                <w:sz w:val="18"/>
                <w:szCs w:val="18"/>
                <w:lang w:val="en-US" w:eastAsia="zh-CN"/>
              </w:rPr>
              <w:t>效益方面数据</w:t>
            </w:r>
            <w:r>
              <w:rPr>
                <w:rFonts w:hint="default" w:ascii="Times New Roman" w:hAnsi="Times New Roman" w:eastAsia="宋体" w:cs="Times New Roman"/>
                <w:color w:val="000000"/>
                <w:sz w:val="18"/>
                <w:szCs w:val="18"/>
              </w:rPr>
              <w:t>或</w:t>
            </w:r>
            <w:r>
              <w:rPr>
                <w:rFonts w:hint="default" w:ascii="Times New Roman" w:hAnsi="Times New Roman" w:eastAsia="宋体" w:cs="Times New Roman"/>
                <w:color w:val="000000"/>
                <w:sz w:val="18"/>
                <w:szCs w:val="18"/>
                <w:lang w:val="en-US" w:eastAsia="zh-CN"/>
              </w:rPr>
              <w:t>显示效益数据</w:t>
            </w:r>
            <w:r>
              <w:rPr>
                <w:rFonts w:hint="default" w:ascii="Times New Roman" w:hAnsi="Times New Roman" w:eastAsia="宋体" w:cs="Times New Roman"/>
                <w:color w:val="000000"/>
                <w:sz w:val="18"/>
                <w:szCs w:val="18"/>
              </w:rPr>
              <w:t>很差。</w:t>
            </w:r>
          </w:p>
        </w:tc>
        <w:tc>
          <w:tcPr>
            <w:tcW w:w="2313" w:type="dxa"/>
            <w:tcBorders>
              <w:tl2br w:val="nil"/>
              <w:tr2bl w:val="nil"/>
            </w:tcBorders>
            <w:tcMar>
              <w:left w:w="108" w:type="dxa"/>
              <w:right w:w="108" w:type="dxa"/>
            </w:tcMar>
            <w:vAlign w:val="top"/>
          </w:tcPr>
          <w:p>
            <w:pPr>
              <w:pStyle w:val="7"/>
              <w:widowControl/>
              <w:wordWrap/>
              <w:adjustRightInd/>
              <w:snapToGrid/>
              <w:spacing w:before="0" w:beforeAutospacing="0" w:after="0" w:afterAutospacing="0" w:line="320" w:lineRule="exact"/>
              <w:jc w:val="both"/>
              <w:textAlignment w:val="auto"/>
              <w:rPr>
                <w:rFonts w:hint="default" w:ascii="Times New Roman" w:hAnsi="Times New Roman" w:eastAsia="宋体" w:cs="Times New Roman"/>
                <w:sz w:val="18"/>
                <w:szCs w:val="18"/>
              </w:rPr>
            </w:pPr>
            <w:r>
              <w:rPr>
                <w:rFonts w:hint="default" w:ascii="Times New Roman" w:hAnsi="Times New Roman" w:eastAsia="宋体" w:cs="Times New Roman"/>
                <w:color w:val="000000"/>
                <w:sz w:val="18"/>
                <w:szCs w:val="18"/>
              </w:rPr>
              <w:t>没有</w:t>
            </w:r>
            <w:r>
              <w:rPr>
                <w:rFonts w:hint="default" w:ascii="Times New Roman" w:hAnsi="Times New Roman" w:eastAsia="宋体" w:cs="Times New Roman"/>
                <w:color w:val="000000"/>
                <w:sz w:val="18"/>
                <w:szCs w:val="18"/>
                <w:lang w:val="en-US" w:eastAsia="zh-CN"/>
              </w:rPr>
              <w:t>竞争对手或标杆的</w:t>
            </w:r>
            <w:r>
              <w:rPr>
                <w:rFonts w:hint="default" w:ascii="Times New Roman" w:hAnsi="Times New Roman" w:eastAsia="宋体" w:cs="Times New Roman"/>
                <w:color w:val="000000"/>
                <w:sz w:val="18"/>
                <w:szCs w:val="18"/>
              </w:rPr>
              <w:t>对比性</w:t>
            </w:r>
            <w:r>
              <w:rPr>
                <w:rFonts w:hint="default" w:ascii="Times New Roman" w:hAnsi="Times New Roman" w:eastAsia="宋体" w:cs="Times New Roman"/>
                <w:color w:val="000000"/>
                <w:sz w:val="18"/>
                <w:szCs w:val="18"/>
                <w:lang w:val="en-US" w:eastAsia="zh-CN"/>
              </w:rPr>
              <w:t>数据或</w:t>
            </w:r>
            <w:r>
              <w:rPr>
                <w:rFonts w:hint="default" w:ascii="Times New Roman" w:hAnsi="Times New Roman" w:eastAsia="宋体" w:cs="Times New Roman"/>
                <w:color w:val="000000"/>
                <w:sz w:val="18"/>
                <w:szCs w:val="18"/>
              </w:rPr>
              <w:t>信息。</w:t>
            </w:r>
          </w:p>
        </w:tc>
        <w:tc>
          <w:tcPr>
            <w:tcW w:w="2317" w:type="dxa"/>
            <w:tcBorders>
              <w:tl2br w:val="nil"/>
              <w:tr2bl w:val="nil"/>
            </w:tcBorders>
            <w:tcMar>
              <w:left w:w="108" w:type="dxa"/>
              <w:right w:w="108" w:type="dxa"/>
            </w:tcMar>
            <w:vAlign w:val="top"/>
          </w:tcPr>
          <w:p>
            <w:pPr>
              <w:pStyle w:val="7"/>
              <w:widowControl/>
              <w:wordWrap/>
              <w:adjustRightInd/>
              <w:snapToGrid/>
              <w:spacing w:before="0" w:beforeAutospacing="0" w:after="0" w:afterAutospacing="0" w:line="320" w:lineRule="exact"/>
              <w:jc w:val="both"/>
              <w:textAlignment w:val="auto"/>
              <w:rPr>
                <w:rFonts w:hint="default" w:ascii="Times New Roman" w:hAnsi="Times New Roman" w:eastAsia="宋体" w:cs="Times New Roman"/>
                <w:sz w:val="18"/>
                <w:szCs w:val="18"/>
              </w:rPr>
            </w:pPr>
            <w:r>
              <w:rPr>
                <w:rFonts w:hint="default" w:ascii="Times New Roman" w:hAnsi="Times New Roman" w:eastAsia="宋体" w:cs="Times New Roman"/>
                <w:color w:val="000000"/>
                <w:sz w:val="18"/>
                <w:szCs w:val="18"/>
              </w:rPr>
              <w:t>没有显示趋势的数据，或</w:t>
            </w:r>
            <w:r>
              <w:rPr>
                <w:rFonts w:hint="default" w:ascii="Times New Roman" w:hAnsi="Times New Roman" w:eastAsia="宋体" w:cs="Times New Roman"/>
                <w:color w:val="000000"/>
                <w:sz w:val="18"/>
                <w:szCs w:val="18"/>
                <w:lang w:val="en-US" w:eastAsia="zh-CN"/>
              </w:rPr>
              <w:t>显示的数据大部分呈下滑</w:t>
            </w:r>
            <w:r>
              <w:rPr>
                <w:rFonts w:hint="default" w:ascii="Times New Roman" w:hAnsi="Times New Roman" w:eastAsia="宋体" w:cs="Times New Roman"/>
                <w:color w:val="000000"/>
                <w:sz w:val="18"/>
                <w:szCs w:val="18"/>
              </w:rPr>
              <w:t>趋势。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0" w:hRule="atLeast"/>
          <w:tblCellSpacing w:w="0" w:type="dxa"/>
        </w:trPr>
        <w:tc>
          <w:tcPr>
            <w:tcW w:w="638" w:type="dxa"/>
            <w:tcBorders>
              <w:tl2br w:val="nil"/>
              <w:tr2bl w:val="nil"/>
            </w:tcBorders>
            <w:tcMar>
              <w:left w:w="108" w:type="dxa"/>
              <w:right w:w="108" w:type="dxa"/>
            </w:tcMar>
            <w:vAlign w:val="center"/>
          </w:tcPr>
          <w:p>
            <w:pPr>
              <w:pStyle w:val="7"/>
              <w:widowControl/>
              <w:wordWrap/>
              <w:adjustRightInd/>
              <w:snapToGrid/>
              <w:spacing w:before="0" w:beforeAutospacing="0" w:after="0" w:afterAutospacing="0" w:line="320" w:lineRule="exact"/>
              <w:jc w:val="center"/>
              <w:textAlignment w:val="auto"/>
              <w:rPr>
                <w:rFonts w:hint="default" w:ascii="Times New Roman" w:hAnsi="Times New Roman" w:eastAsia="宋体" w:cs="Times New Roman"/>
                <w:sz w:val="18"/>
                <w:szCs w:val="18"/>
              </w:rPr>
            </w:pPr>
            <w:r>
              <w:rPr>
                <w:rFonts w:hint="default" w:ascii="Times New Roman" w:hAnsi="Times New Roman" w:eastAsia="宋体" w:cs="Times New Roman"/>
                <w:color w:val="000000"/>
                <w:sz w:val="18"/>
                <w:szCs w:val="18"/>
              </w:rPr>
              <w:t>2</w:t>
            </w:r>
          </w:p>
        </w:tc>
        <w:tc>
          <w:tcPr>
            <w:tcW w:w="1000" w:type="dxa"/>
            <w:tcBorders>
              <w:tl2br w:val="nil"/>
              <w:tr2bl w:val="nil"/>
            </w:tcBorders>
            <w:tcMar>
              <w:left w:w="108" w:type="dxa"/>
              <w:right w:w="108" w:type="dxa"/>
            </w:tcMar>
            <w:vAlign w:val="center"/>
          </w:tcPr>
          <w:p>
            <w:pPr>
              <w:pStyle w:val="7"/>
              <w:widowControl/>
              <w:wordWrap/>
              <w:adjustRightInd/>
              <w:snapToGrid/>
              <w:spacing w:before="0" w:beforeAutospacing="0" w:after="0" w:afterAutospacing="0" w:line="320" w:lineRule="exact"/>
              <w:jc w:val="both"/>
              <w:textAlignment w:val="auto"/>
              <w:rPr>
                <w:rFonts w:hint="default" w:ascii="Times New Roman" w:hAnsi="Times New Roman" w:eastAsia="宋体" w:cs="Times New Roman"/>
                <w:sz w:val="18"/>
                <w:szCs w:val="18"/>
              </w:rPr>
            </w:pPr>
            <w:r>
              <w:rPr>
                <w:rFonts w:hint="default" w:ascii="Times New Roman" w:hAnsi="Times New Roman" w:eastAsia="宋体" w:cs="Times New Roman"/>
                <w:color w:val="000000"/>
                <w:sz w:val="18"/>
                <w:szCs w:val="18"/>
              </w:rPr>
              <w:t>15%，</w:t>
            </w:r>
            <w:r>
              <w:rPr>
                <w:rFonts w:hint="default" w:ascii="Times New Roman" w:hAnsi="Times New Roman" w:eastAsia="宋体" w:cs="Times New Roman"/>
                <w:color w:val="000000"/>
                <w:sz w:val="18"/>
                <w:szCs w:val="18"/>
                <w:lang w:val="en-US" w:eastAsia="zh-CN"/>
              </w:rPr>
              <w:t>2</w:t>
            </w:r>
            <w:r>
              <w:rPr>
                <w:rFonts w:hint="default" w:ascii="Times New Roman" w:hAnsi="Times New Roman" w:eastAsia="宋体" w:cs="Times New Roman"/>
                <w:color w:val="000000"/>
                <w:sz w:val="18"/>
                <w:szCs w:val="18"/>
              </w:rPr>
              <w:t>0%，25%或30%</w:t>
            </w:r>
          </w:p>
        </w:tc>
        <w:tc>
          <w:tcPr>
            <w:tcW w:w="2040" w:type="dxa"/>
            <w:tcBorders>
              <w:tl2br w:val="nil"/>
              <w:tr2bl w:val="nil"/>
            </w:tcBorders>
            <w:tcMar>
              <w:left w:w="108" w:type="dxa"/>
              <w:right w:w="108" w:type="dxa"/>
            </w:tcMar>
            <w:vAlign w:val="top"/>
          </w:tcPr>
          <w:p>
            <w:pPr>
              <w:pStyle w:val="7"/>
              <w:widowControl/>
              <w:wordWrap/>
              <w:adjustRightInd/>
              <w:snapToGrid/>
              <w:spacing w:before="0" w:beforeAutospacing="0" w:after="0" w:afterAutospacing="0" w:line="320" w:lineRule="exact"/>
              <w:jc w:val="both"/>
              <w:textAlignment w:val="auto"/>
              <w:rPr>
                <w:rFonts w:hint="default" w:ascii="Times New Roman" w:hAnsi="Times New Roman" w:eastAsia="宋体" w:cs="Times New Roman"/>
                <w:sz w:val="18"/>
                <w:szCs w:val="18"/>
              </w:rPr>
            </w:pPr>
            <w:r>
              <w:rPr>
                <w:rFonts w:hint="default" w:ascii="Times New Roman" w:hAnsi="Times New Roman" w:eastAsia="宋体" w:cs="Times New Roman"/>
                <w:color w:val="000000"/>
                <w:sz w:val="18"/>
                <w:szCs w:val="18"/>
              </w:rPr>
              <w:t>针对</w:t>
            </w:r>
            <w:r>
              <w:rPr>
                <w:rFonts w:hint="default" w:ascii="Times New Roman" w:hAnsi="Times New Roman" w:eastAsia="宋体" w:cs="Times New Roman"/>
                <w:b/>
                <w:bCs/>
                <w:color w:val="000000"/>
                <w:sz w:val="18"/>
                <w:szCs w:val="18"/>
                <w:lang w:val="en-US" w:eastAsia="zh-CN"/>
              </w:rPr>
              <w:t>一级评价项目</w:t>
            </w:r>
            <w:r>
              <w:rPr>
                <w:rFonts w:hint="default" w:ascii="Times New Roman" w:hAnsi="Times New Roman" w:eastAsia="宋体" w:cs="Times New Roman"/>
                <w:color w:val="000000"/>
                <w:sz w:val="18"/>
                <w:szCs w:val="18"/>
                <w:lang w:val="en-US" w:eastAsia="zh-CN"/>
              </w:rPr>
              <w:t>清晰地描述了较完整的</w:t>
            </w:r>
            <w:r>
              <w:rPr>
                <w:rFonts w:hint="default" w:ascii="Times New Roman" w:hAnsi="Times New Roman" w:eastAsia="宋体" w:cs="Times New Roman"/>
                <w:color w:val="000000"/>
                <w:sz w:val="18"/>
                <w:szCs w:val="18"/>
              </w:rPr>
              <w:t>方法。</w:t>
            </w:r>
          </w:p>
        </w:tc>
        <w:tc>
          <w:tcPr>
            <w:tcW w:w="2083" w:type="dxa"/>
            <w:tcBorders>
              <w:tl2br w:val="nil"/>
              <w:tr2bl w:val="nil"/>
            </w:tcBorders>
            <w:tcMar>
              <w:left w:w="108" w:type="dxa"/>
              <w:right w:w="108" w:type="dxa"/>
            </w:tcMar>
            <w:vAlign w:val="top"/>
          </w:tcPr>
          <w:p>
            <w:pPr>
              <w:pStyle w:val="7"/>
              <w:widowControl/>
              <w:wordWrap/>
              <w:adjustRightInd/>
              <w:snapToGrid/>
              <w:spacing w:before="0" w:beforeAutospacing="0" w:after="0" w:afterAutospacing="0" w:line="320" w:lineRule="exact"/>
              <w:jc w:val="both"/>
              <w:textAlignment w:val="auto"/>
              <w:rPr>
                <w:rFonts w:hint="default" w:ascii="Times New Roman" w:hAnsi="Times New Roman" w:eastAsia="宋体" w:cs="Times New Roman"/>
                <w:sz w:val="18"/>
                <w:szCs w:val="18"/>
              </w:rPr>
            </w:pPr>
            <w:r>
              <w:rPr>
                <w:rFonts w:hint="default" w:ascii="Times New Roman" w:hAnsi="Times New Roman" w:eastAsia="宋体" w:cs="Times New Roman"/>
                <w:color w:val="000000"/>
                <w:sz w:val="18"/>
                <w:szCs w:val="18"/>
              </w:rPr>
              <w:t>在</w:t>
            </w:r>
            <w:r>
              <w:rPr>
                <w:rFonts w:hint="default" w:ascii="Times New Roman" w:hAnsi="Times New Roman" w:eastAsia="宋体" w:cs="Times New Roman"/>
                <w:color w:val="000000"/>
                <w:sz w:val="18"/>
                <w:szCs w:val="18"/>
                <w:lang w:val="en-US" w:eastAsia="zh-CN"/>
              </w:rPr>
              <w:t>部分</w:t>
            </w:r>
            <w:r>
              <w:rPr>
                <w:rFonts w:hint="default" w:ascii="Times New Roman" w:hAnsi="Times New Roman" w:eastAsia="宋体" w:cs="Times New Roman"/>
                <w:color w:val="000000"/>
                <w:sz w:val="18"/>
                <w:szCs w:val="18"/>
              </w:rPr>
              <w:t>领域或工作单位</w:t>
            </w:r>
            <w:r>
              <w:rPr>
                <w:rFonts w:hint="default" w:ascii="Times New Roman" w:hAnsi="Times New Roman" w:eastAsia="宋体" w:cs="Times New Roman"/>
                <w:color w:val="000000"/>
                <w:sz w:val="18"/>
                <w:szCs w:val="18"/>
                <w:lang w:val="en-US" w:eastAsia="zh-CN"/>
              </w:rPr>
              <w:t>展现了方法实施的一致性</w:t>
            </w:r>
            <w:r>
              <w:rPr>
                <w:rFonts w:hint="default" w:ascii="Times New Roman" w:hAnsi="Times New Roman" w:eastAsia="宋体" w:cs="Times New Roman"/>
                <w:color w:val="000000"/>
                <w:sz w:val="18"/>
                <w:szCs w:val="18"/>
              </w:rPr>
              <w:t>。</w:t>
            </w:r>
          </w:p>
        </w:tc>
        <w:tc>
          <w:tcPr>
            <w:tcW w:w="2469" w:type="dxa"/>
            <w:tcBorders>
              <w:tl2br w:val="nil"/>
              <w:tr2bl w:val="nil"/>
            </w:tcBorders>
            <w:tcMar>
              <w:left w:w="108" w:type="dxa"/>
              <w:right w:w="108" w:type="dxa"/>
            </w:tcMar>
            <w:vAlign w:val="top"/>
          </w:tcPr>
          <w:p>
            <w:pPr>
              <w:pStyle w:val="7"/>
              <w:widowControl/>
              <w:wordWrap/>
              <w:adjustRightInd/>
              <w:snapToGrid/>
              <w:spacing w:before="0" w:beforeAutospacing="0" w:after="0" w:afterAutospacing="0" w:line="320" w:lineRule="exact"/>
              <w:jc w:val="both"/>
              <w:textAlignment w:val="auto"/>
              <w:rPr>
                <w:rFonts w:hint="default" w:ascii="Times New Roman" w:hAnsi="Times New Roman" w:eastAsia="宋体" w:cs="Times New Roman"/>
                <w:sz w:val="18"/>
                <w:szCs w:val="18"/>
              </w:rPr>
            </w:pPr>
            <w:r>
              <w:rPr>
                <w:rFonts w:hint="default" w:ascii="Times New Roman" w:hAnsi="Times New Roman" w:eastAsia="宋体" w:cs="Times New Roman"/>
                <w:color w:val="000000"/>
                <w:sz w:val="18"/>
                <w:szCs w:val="18"/>
              </w:rPr>
              <w:t>开始</w:t>
            </w:r>
            <w:r>
              <w:rPr>
                <w:rFonts w:hint="default" w:ascii="Times New Roman" w:hAnsi="Times New Roman" w:eastAsia="宋体" w:cs="Times New Roman"/>
                <w:color w:val="000000"/>
                <w:sz w:val="18"/>
                <w:szCs w:val="18"/>
                <w:lang w:val="en-US" w:eastAsia="zh-CN"/>
              </w:rPr>
              <w:t>有计划有步骤的进行评估，并进行了初步的改善</w:t>
            </w:r>
            <w:r>
              <w:rPr>
                <w:rFonts w:hint="default" w:ascii="Times New Roman" w:hAnsi="Times New Roman" w:eastAsia="宋体" w:cs="Times New Roman"/>
                <w:color w:val="000000"/>
                <w:sz w:val="18"/>
                <w:szCs w:val="18"/>
              </w:rPr>
              <w:t>。</w:t>
            </w:r>
          </w:p>
        </w:tc>
        <w:tc>
          <w:tcPr>
            <w:tcW w:w="1885" w:type="dxa"/>
            <w:tcBorders>
              <w:tl2br w:val="nil"/>
              <w:tr2bl w:val="nil"/>
            </w:tcBorders>
            <w:tcMar>
              <w:left w:w="108" w:type="dxa"/>
              <w:right w:w="108" w:type="dxa"/>
            </w:tcMar>
            <w:vAlign w:val="top"/>
          </w:tcPr>
          <w:p>
            <w:pPr>
              <w:pStyle w:val="7"/>
              <w:widowControl/>
              <w:wordWrap/>
              <w:adjustRightInd/>
              <w:snapToGrid/>
              <w:spacing w:before="0" w:beforeAutospacing="0" w:after="0" w:afterAutospacing="0" w:line="320" w:lineRule="exact"/>
              <w:jc w:val="both"/>
              <w:textAlignment w:val="auto"/>
              <w:rPr>
                <w:rFonts w:hint="default" w:ascii="Times New Roman" w:hAnsi="Times New Roman" w:eastAsia="宋体" w:cs="Times New Roman"/>
                <w:sz w:val="18"/>
                <w:szCs w:val="18"/>
              </w:rPr>
            </w:pPr>
            <w:r>
              <w:rPr>
                <w:rFonts w:hint="default" w:ascii="Times New Roman" w:hAnsi="Times New Roman" w:eastAsia="宋体" w:cs="Times New Roman"/>
                <w:color w:val="000000"/>
                <w:sz w:val="18"/>
                <w:szCs w:val="18"/>
              </w:rPr>
              <w:t>针对</w:t>
            </w:r>
            <w:r>
              <w:rPr>
                <w:rFonts w:hint="default" w:ascii="Times New Roman" w:hAnsi="Times New Roman" w:eastAsia="宋体" w:cs="Times New Roman"/>
                <w:b/>
                <w:bCs/>
                <w:color w:val="000000"/>
                <w:sz w:val="18"/>
                <w:szCs w:val="18"/>
                <w:lang w:val="en-US" w:eastAsia="zh-CN"/>
              </w:rPr>
              <w:t>一级评价项目</w:t>
            </w:r>
            <w:r>
              <w:rPr>
                <w:rFonts w:hint="default" w:ascii="Times New Roman" w:hAnsi="Times New Roman" w:eastAsia="宋体" w:cs="Times New Roman"/>
                <w:color w:val="000000"/>
                <w:sz w:val="18"/>
                <w:szCs w:val="18"/>
              </w:rPr>
              <w:t>，报告了很少的结果。</w:t>
            </w:r>
          </w:p>
        </w:tc>
        <w:tc>
          <w:tcPr>
            <w:tcW w:w="2313" w:type="dxa"/>
            <w:tcBorders>
              <w:tl2br w:val="nil"/>
              <w:tr2bl w:val="nil"/>
            </w:tcBorders>
            <w:tcMar>
              <w:left w:w="108" w:type="dxa"/>
              <w:right w:w="108" w:type="dxa"/>
            </w:tcMar>
            <w:vAlign w:val="top"/>
          </w:tcPr>
          <w:p>
            <w:pPr>
              <w:pStyle w:val="7"/>
              <w:widowControl/>
              <w:wordWrap/>
              <w:adjustRightInd/>
              <w:snapToGrid/>
              <w:spacing w:before="0" w:beforeAutospacing="0" w:after="0" w:afterAutospacing="0" w:line="320" w:lineRule="exact"/>
              <w:jc w:val="both"/>
              <w:textAlignment w:val="auto"/>
              <w:rPr>
                <w:rFonts w:hint="default" w:ascii="Times New Roman" w:hAnsi="Times New Roman" w:eastAsia="宋体" w:cs="Times New Roman"/>
                <w:sz w:val="18"/>
                <w:szCs w:val="18"/>
              </w:rPr>
            </w:pPr>
            <w:r>
              <w:rPr>
                <w:rFonts w:hint="default" w:ascii="Times New Roman" w:hAnsi="Times New Roman" w:eastAsia="宋体" w:cs="Times New Roman"/>
                <w:color w:val="000000"/>
                <w:sz w:val="18"/>
                <w:szCs w:val="18"/>
              </w:rPr>
              <w:t>没有报告或报告了很少</w:t>
            </w:r>
            <w:r>
              <w:rPr>
                <w:rFonts w:hint="default" w:ascii="Times New Roman" w:hAnsi="Times New Roman" w:eastAsia="宋体" w:cs="Times New Roman"/>
                <w:color w:val="000000"/>
                <w:sz w:val="18"/>
                <w:szCs w:val="18"/>
                <w:lang w:val="en-US" w:eastAsia="zh-CN"/>
              </w:rPr>
              <w:t>竞争对手或标杆的</w:t>
            </w:r>
            <w:r>
              <w:rPr>
                <w:rFonts w:hint="default" w:ascii="Times New Roman" w:hAnsi="Times New Roman" w:eastAsia="宋体" w:cs="Times New Roman"/>
                <w:color w:val="000000"/>
                <w:sz w:val="18"/>
                <w:szCs w:val="18"/>
              </w:rPr>
              <w:t>对比性数据。</w:t>
            </w:r>
          </w:p>
        </w:tc>
        <w:tc>
          <w:tcPr>
            <w:tcW w:w="2317" w:type="dxa"/>
            <w:tcBorders>
              <w:tl2br w:val="nil"/>
              <w:tr2bl w:val="nil"/>
            </w:tcBorders>
            <w:tcMar>
              <w:left w:w="108" w:type="dxa"/>
              <w:right w:w="108" w:type="dxa"/>
            </w:tcMar>
            <w:vAlign w:val="top"/>
          </w:tcPr>
          <w:p>
            <w:pPr>
              <w:pStyle w:val="7"/>
              <w:widowControl/>
              <w:wordWrap/>
              <w:adjustRightInd/>
              <w:snapToGrid/>
              <w:spacing w:before="0" w:beforeAutospacing="0" w:after="0" w:afterAutospacing="0" w:line="320" w:lineRule="exact"/>
              <w:jc w:val="both"/>
              <w:textAlignment w:val="auto"/>
              <w:rPr>
                <w:rFonts w:hint="default" w:ascii="Times New Roman" w:hAnsi="Times New Roman" w:eastAsia="宋体" w:cs="Times New Roman"/>
                <w:sz w:val="18"/>
                <w:szCs w:val="18"/>
              </w:rPr>
            </w:pPr>
            <w:r>
              <w:rPr>
                <w:rFonts w:hint="default" w:ascii="Times New Roman" w:hAnsi="Times New Roman" w:eastAsia="宋体" w:cs="Times New Roman"/>
                <w:color w:val="000000"/>
                <w:sz w:val="18"/>
                <w:szCs w:val="18"/>
              </w:rPr>
              <w:t>在报告的某些数据中</w:t>
            </w:r>
            <w:r>
              <w:rPr>
                <w:rFonts w:hint="default" w:ascii="Times New Roman" w:hAnsi="Times New Roman" w:eastAsia="宋体" w:cs="Times New Roman"/>
                <w:color w:val="000000"/>
                <w:sz w:val="18"/>
                <w:szCs w:val="18"/>
                <w:lang w:val="en-US" w:eastAsia="zh-CN"/>
              </w:rPr>
              <w:t>呈下滑</w:t>
            </w:r>
            <w:r>
              <w:rPr>
                <w:rFonts w:hint="default" w:ascii="Times New Roman" w:hAnsi="Times New Roman" w:eastAsia="宋体" w:cs="Times New Roman"/>
                <w:color w:val="000000"/>
                <w:sz w:val="18"/>
                <w:szCs w:val="18"/>
              </w:rPr>
              <w:t>趋势。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54" w:hRule="atLeast"/>
          <w:tblCellSpacing w:w="0" w:type="dxa"/>
        </w:trPr>
        <w:tc>
          <w:tcPr>
            <w:tcW w:w="638" w:type="dxa"/>
            <w:tcBorders>
              <w:tl2br w:val="nil"/>
              <w:tr2bl w:val="nil"/>
            </w:tcBorders>
            <w:tcMar>
              <w:left w:w="108" w:type="dxa"/>
              <w:right w:w="108" w:type="dxa"/>
            </w:tcMar>
            <w:vAlign w:val="center"/>
          </w:tcPr>
          <w:p>
            <w:pPr>
              <w:pStyle w:val="7"/>
              <w:widowControl/>
              <w:wordWrap/>
              <w:adjustRightInd/>
              <w:snapToGrid/>
              <w:spacing w:before="0" w:beforeAutospacing="0" w:after="0" w:afterAutospacing="0" w:line="320" w:lineRule="exact"/>
              <w:jc w:val="center"/>
              <w:textAlignment w:val="auto"/>
              <w:rPr>
                <w:rFonts w:hint="default" w:ascii="Times New Roman" w:hAnsi="Times New Roman" w:eastAsia="宋体" w:cs="Times New Roman"/>
                <w:sz w:val="18"/>
                <w:szCs w:val="18"/>
              </w:rPr>
            </w:pPr>
            <w:r>
              <w:rPr>
                <w:rFonts w:hint="default" w:ascii="Times New Roman" w:hAnsi="Times New Roman" w:eastAsia="宋体" w:cs="Times New Roman"/>
                <w:color w:val="000000"/>
                <w:sz w:val="18"/>
                <w:szCs w:val="18"/>
              </w:rPr>
              <w:t>3</w:t>
            </w:r>
          </w:p>
        </w:tc>
        <w:tc>
          <w:tcPr>
            <w:tcW w:w="1000" w:type="dxa"/>
            <w:tcBorders>
              <w:tl2br w:val="nil"/>
              <w:tr2bl w:val="nil"/>
            </w:tcBorders>
            <w:tcMar>
              <w:left w:w="108" w:type="dxa"/>
              <w:right w:w="108" w:type="dxa"/>
            </w:tcMar>
            <w:vAlign w:val="center"/>
          </w:tcPr>
          <w:p>
            <w:pPr>
              <w:pStyle w:val="7"/>
              <w:widowControl/>
              <w:wordWrap/>
              <w:adjustRightInd/>
              <w:snapToGrid/>
              <w:spacing w:before="0" w:beforeAutospacing="0" w:after="0" w:afterAutospacing="0" w:line="320" w:lineRule="exact"/>
              <w:jc w:val="both"/>
              <w:textAlignment w:val="auto"/>
              <w:rPr>
                <w:rFonts w:hint="default" w:ascii="Times New Roman" w:hAnsi="Times New Roman" w:eastAsia="宋体" w:cs="Times New Roman"/>
                <w:sz w:val="18"/>
                <w:szCs w:val="18"/>
              </w:rPr>
            </w:pPr>
            <w:r>
              <w:rPr>
                <w:rFonts w:hint="default" w:ascii="Times New Roman" w:hAnsi="Times New Roman" w:eastAsia="宋体" w:cs="Times New Roman"/>
                <w:color w:val="000000"/>
                <w:sz w:val="18"/>
                <w:szCs w:val="18"/>
              </w:rPr>
              <w:t>35%，40%，45%或50%</w:t>
            </w:r>
          </w:p>
        </w:tc>
        <w:tc>
          <w:tcPr>
            <w:tcW w:w="2040" w:type="dxa"/>
            <w:tcBorders>
              <w:tl2br w:val="nil"/>
              <w:tr2bl w:val="nil"/>
            </w:tcBorders>
            <w:tcMar>
              <w:left w:w="108" w:type="dxa"/>
              <w:right w:w="108" w:type="dxa"/>
            </w:tcMar>
            <w:vAlign w:val="top"/>
          </w:tcPr>
          <w:p>
            <w:pPr>
              <w:pStyle w:val="7"/>
              <w:widowControl/>
              <w:wordWrap/>
              <w:adjustRightInd/>
              <w:snapToGrid/>
              <w:spacing w:before="0" w:beforeAutospacing="0" w:after="0" w:afterAutospacing="0" w:line="320" w:lineRule="exact"/>
              <w:jc w:val="both"/>
              <w:textAlignment w:val="auto"/>
              <w:rPr>
                <w:rFonts w:hint="default" w:ascii="Times New Roman" w:hAnsi="Times New Roman" w:eastAsia="宋体" w:cs="Times New Roman"/>
                <w:sz w:val="18"/>
                <w:szCs w:val="18"/>
              </w:rPr>
            </w:pPr>
            <w:r>
              <w:rPr>
                <w:rFonts w:hint="default" w:ascii="Times New Roman" w:hAnsi="Times New Roman" w:eastAsia="宋体" w:cs="Times New Roman"/>
                <w:color w:val="000000"/>
                <w:sz w:val="18"/>
                <w:szCs w:val="18"/>
              </w:rPr>
              <w:t>针对</w:t>
            </w:r>
            <w:r>
              <w:rPr>
                <w:rFonts w:hint="default" w:ascii="Times New Roman" w:hAnsi="Times New Roman" w:eastAsia="宋体" w:cs="Times New Roman"/>
                <w:b/>
                <w:bCs/>
                <w:color w:val="000000"/>
                <w:sz w:val="18"/>
                <w:szCs w:val="18"/>
                <w:lang w:val="en-US" w:eastAsia="zh-CN"/>
              </w:rPr>
              <w:t>二级评价项目</w:t>
            </w:r>
            <w:r>
              <w:rPr>
                <w:rFonts w:hint="default" w:ascii="Times New Roman" w:hAnsi="Times New Roman" w:eastAsia="宋体" w:cs="Times New Roman"/>
                <w:color w:val="000000"/>
                <w:sz w:val="18"/>
                <w:szCs w:val="18"/>
              </w:rPr>
              <w:t>有</w:t>
            </w:r>
            <w:r>
              <w:rPr>
                <w:rFonts w:hint="default" w:ascii="Times New Roman" w:hAnsi="Times New Roman" w:eastAsia="宋体" w:cs="Times New Roman"/>
                <w:color w:val="000000"/>
                <w:sz w:val="18"/>
                <w:szCs w:val="18"/>
                <w:lang w:val="en-US" w:eastAsia="zh-CN"/>
              </w:rPr>
              <w:t>完整的、适宜的</w:t>
            </w:r>
            <w:r>
              <w:rPr>
                <w:rFonts w:hint="default" w:ascii="Times New Roman" w:hAnsi="Times New Roman" w:eastAsia="宋体" w:cs="Times New Roman"/>
                <w:color w:val="000000"/>
                <w:sz w:val="18"/>
                <w:szCs w:val="18"/>
              </w:rPr>
              <w:t>、有效的方法。　</w:t>
            </w:r>
          </w:p>
        </w:tc>
        <w:tc>
          <w:tcPr>
            <w:tcW w:w="2083" w:type="dxa"/>
            <w:tcBorders>
              <w:tl2br w:val="nil"/>
              <w:tr2bl w:val="nil"/>
            </w:tcBorders>
            <w:tcMar>
              <w:left w:w="108" w:type="dxa"/>
              <w:right w:w="108" w:type="dxa"/>
            </w:tcMar>
            <w:vAlign w:val="top"/>
          </w:tcPr>
          <w:p>
            <w:pPr>
              <w:pStyle w:val="7"/>
              <w:widowControl/>
              <w:wordWrap/>
              <w:adjustRightInd/>
              <w:snapToGrid/>
              <w:spacing w:before="0" w:beforeAutospacing="0" w:after="0" w:afterAutospacing="0" w:line="320" w:lineRule="exact"/>
              <w:jc w:val="both"/>
              <w:textAlignment w:val="auto"/>
              <w:rPr>
                <w:rFonts w:hint="default" w:ascii="Times New Roman" w:hAnsi="Times New Roman" w:eastAsia="宋体" w:cs="Times New Roman"/>
                <w:sz w:val="18"/>
                <w:szCs w:val="18"/>
              </w:rPr>
            </w:pPr>
            <w:r>
              <w:rPr>
                <w:rFonts w:hint="default" w:ascii="Times New Roman" w:hAnsi="Times New Roman" w:eastAsia="宋体" w:cs="Times New Roman"/>
                <w:color w:val="000000"/>
                <w:sz w:val="18"/>
                <w:szCs w:val="18"/>
              </w:rPr>
              <w:t>在</w:t>
            </w:r>
            <w:r>
              <w:rPr>
                <w:rFonts w:hint="default" w:ascii="Times New Roman" w:hAnsi="Times New Roman" w:eastAsia="宋体" w:cs="Times New Roman"/>
                <w:color w:val="000000"/>
                <w:sz w:val="18"/>
                <w:szCs w:val="18"/>
                <w:lang w:val="en-US" w:eastAsia="zh-CN"/>
              </w:rPr>
              <w:t>部分</w:t>
            </w:r>
            <w:r>
              <w:rPr>
                <w:rFonts w:hint="default" w:ascii="Times New Roman" w:hAnsi="Times New Roman" w:eastAsia="宋体" w:cs="Times New Roman"/>
                <w:color w:val="000000"/>
                <w:sz w:val="18"/>
                <w:szCs w:val="18"/>
              </w:rPr>
              <w:t>领域或工作单位</w:t>
            </w:r>
            <w:r>
              <w:rPr>
                <w:rFonts w:hint="default" w:ascii="Times New Roman" w:hAnsi="Times New Roman" w:eastAsia="宋体" w:cs="Times New Roman"/>
                <w:color w:val="000000"/>
                <w:sz w:val="18"/>
                <w:szCs w:val="18"/>
                <w:lang w:val="en-US" w:eastAsia="zh-CN"/>
              </w:rPr>
              <w:t>展现了方法实施的一致性和彻底性</w:t>
            </w:r>
            <w:r>
              <w:rPr>
                <w:rFonts w:hint="default" w:ascii="Times New Roman" w:hAnsi="Times New Roman" w:eastAsia="宋体" w:cs="Times New Roman"/>
                <w:color w:val="000000"/>
                <w:sz w:val="18"/>
                <w:szCs w:val="18"/>
              </w:rPr>
              <w:t>。</w:t>
            </w:r>
          </w:p>
        </w:tc>
        <w:tc>
          <w:tcPr>
            <w:tcW w:w="2469" w:type="dxa"/>
            <w:tcBorders>
              <w:tl2br w:val="nil"/>
              <w:tr2bl w:val="nil"/>
            </w:tcBorders>
            <w:tcMar>
              <w:left w:w="108" w:type="dxa"/>
              <w:right w:w="108" w:type="dxa"/>
            </w:tcMar>
            <w:vAlign w:val="top"/>
          </w:tcPr>
          <w:p>
            <w:pPr>
              <w:pStyle w:val="7"/>
              <w:widowControl/>
              <w:wordWrap/>
              <w:adjustRightInd/>
              <w:snapToGrid/>
              <w:spacing w:before="0" w:beforeAutospacing="0" w:after="0" w:afterAutospacing="0" w:line="320" w:lineRule="exact"/>
              <w:jc w:val="both"/>
              <w:textAlignment w:val="auto"/>
              <w:rPr>
                <w:rFonts w:hint="default" w:ascii="Times New Roman" w:hAnsi="Times New Roman" w:eastAsia="宋体" w:cs="Times New Roman"/>
                <w:sz w:val="18"/>
                <w:szCs w:val="18"/>
              </w:rPr>
            </w:pPr>
            <w:r>
              <w:rPr>
                <w:rFonts w:hint="default" w:ascii="Times New Roman" w:hAnsi="Times New Roman" w:eastAsia="宋体" w:cs="Times New Roman"/>
                <w:color w:val="000000"/>
                <w:sz w:val="18"/>
                <w:szCs w:val="18"/>
                <w:lang w:val="en-US" w:eastAsia="zh-CN"/>
              </w:rPr>
              <w:t>有计划有步骤的进行评估，</w:t>
            </w:r>
            <w:r>
              <w:rPr>
                <w:rFonts w:hint="default" w:ascii="Times New Roman" w:hAnsi="Times New Roman" w:eastAsia="宋体" w:cs="Times New Roman"/>
                <w:color w:val="000000"/>
                <w:sz w:val="18"/>
                <w:szCs w:val="18"/>
              </w:rPr>
              <w:t>用以评价和改进关键</w:t>
            </w:r>
            <w:r>
              <w:rPr>
                <w:rFonts w:hint="default" w:ascii="Times New Roman" w:hAnsi="Times New Roman" w:eastAsia="宋体" w:cs="Times New Roman"/>
                <w:color w:val="000000"/>
                <w:sz w:val="18"/>
                <w:szCs w:val="18"/>
                <w:lang w:val="en-US" w:eastAsia="zh-CN"/>
              </w:rPr>
              <w:t>活动</w:t>
            </w:r>
            <w:r>
              <w:rPr>
                <w:rFonts w:hint="default" w:ascii="Times New Roman" w:hAnsi="Times New Roman" w:eastAsia="宋体" w:cs="Times New Roman"/>
                <w:color w:val="000000"/>
                <w:sz w:val="18"/>
                <w:szCs w:val="18"/>
              </w:rPr>
              <w:t>。</w:t>
            </w:r>
          </w:p>
        </w:tc>
        <w:tc>
          <w:tcPr>
            <w:tcW w:w="1885" w:type="dxa"/>
            <w:tcBorders>
              <w:tl2br w:val="nil"/>
              <w:tr2bl w:val="nil"/>
            </w:tcBorders>
            <w:tcMar>
              <w:left w:w="108" w:type="dxa"/>
              <w:right w:w="108" w:type="dxa"/>
            </w:tcMar>
            <w:vAlign w:val="top"/>
          </w:tcPr>
          <w:p>
            <w:pPr>
              <w:pStyle w:val="7"/>
              <w:widowControl/>
              <w:wordWrap/>
              <w:adjustRightInd/>
              <w:snapToGrid/>
              <w:spacing w:before="0" w:beforeAutospacing="0" w:after="0" w:afterAutospacing="0" w:line="320" w:lineRule="exact"/>
              <w:jc w:val="both"/>
              <w:textAlignment w:val="auto"/>
              <w:rPr>
                <w:rFonts w:hint="default" w:ascii="Times New Roman" w:hAnsi="Times New Roman" w:eastAsia="宋体" w:cs="Times New Roman"/>
                <w:sz w:val="18"/>
                <w:szCs w:val="18"/>
              </w:rPr>
            </w:pPr>
            <w:r>
              <w:rPr>
                <w:rFonts w:hint="default" w:ascii="Times New Roman" w:hAnsi="Times New Roman" w:eastAsia="宋体" w:cs="Times New Roman"/>
                <w:color w:val="000000"/>
                <w:sz w:val="18"/>
                <w:szCs w:val="18"/>
              </w:rPr>
              <w:t>针对</w:t>
            </w:r>
            <w:r>
              <w:rPr>
                <w:rFonts w:hint="default" w:ascii="Times New Roman" w:hAnsi="Times New Roman" w:eastAsia="宋体" w:cs="Times New Roman"/>
                <w:b/>
                <w:bCs/>
                <w:color w:val="000000"/>
                <w:sz w:val="18"/>
                <w:szCs w:val="18"/>
                <w:lang w:val="en-US" w:eastAsia="zh-CN"/>
              </w:rPr>
              <w:t>二级评价项目</w:t>
            </w:r>
            <w:r>
              <w:rPr>
                <w:rFonts w:hint="default" w:ascii="Times New Roman" w:hAnsi="Times New Roman" w:eastAsia="宋体" w:cs="Times New Roman"/>
                <w:color w:val="000000"/>
                <w:sz w:val="18"/>
                <w:szCs w:val="18"/>
              </w:rPr>
              <w:t>报告了</w:t>
            </w:r>
            <w:r>
              <w:rPr>
                <w:rFonts w:hint="default" w:ascii="Times New Roman" w:hAnsi="Times New Roman" w:eastAsia="宋体" w:cs="Times New Roman"/>
                <w:color w:val="000000"/>
                <w:sz w:val="18"/>
                <w:szCs w:val="18"/>
                <w:lang w:val="en-US" w:eastAsia="zh-CN"/>
              </w:rPr>
              <w:t>良</w:t>
            </w:r>
            <w:r>
              <w:rPr>
                <w:rFonts w:hint="default" w:ascii="Times New Roman" w:hAnsi="Times New Roman" w:eastAsia="宋体" w:cs="Times New Roman"/>
                <w:color w:val="000000"/>
                <w:sz w:val="18"/>
                <w:szCs w:val="18"/>
              </w:rPr>
              <w:t>好的组织</w:t>
            </w:r>
            <w:r>
              <w:rPr>
                <w:rFonts w:hint="default" w:ascii="Times New Roman" w:hAnsi="Times New Roman" w:eastAsia="宋体" w:cs="Times New Roman"/>
                <w:color w:val="000000"/>
                <w:sz w:val="18"/>
                <w:szCs w:val="18"/>
                <w:lang w:val="en-US" w:eastAsia="zh-CN"/>
              </w:rPr>
              <w:t>效益状况</w:t>
            </w:r>
            <w:r>
              <w:rPr>
                <w:rFonts w:hint="default" w:ascii="Times New Roman" w:hAnsi="Times New Roman" w:eastAsia="宋体" w:cs="Times New Roman"/>
                <w:color w:val="000000"/>
                <w:sz w:val="18"/>
                <w:szCs w:val="18"/>
              </w:rPr>
              <w:t>。</w:t>
            </w:r>
          </w:p>
        </w:tc>
        <w:tc>
          <w:tcPr>
            <w:tcW w:w="2313" w:type="dxa"/>
            <w:tcBorders>
              <w:tl2br w:val="nil"/>
              <w:tr2bl w:val="nil"/>
            </w:tcBorders>
            <w:tcMar>
              <w:left w:w="108" w:type="dxa"/>
              <w:right w:w="108" w:type="dxa"/>
            </w:tcMar>
            <w:vAlign w:val="top"/>
          </w:tcPr>
          <w:p>
            <w:pPr>
              <w:pStyle w:val="7"/>
              <w:widowControl/>
              <w:wordWrap/>
              <w:adjustRightInd/>
              <w:snapToGrid/>
              <w:spacing w:before="0" w:beforeAutospacing="0" w:after="0" w:afterAutospacing="0" w:line="320" w:lineRule="exact"/>
              <w:jc w:val="both"/>
              <w:textAlignment w:val="auto"/>
              <w:rPr>
                <w:rFonts w:hint="default" w:ascii="Times New Roman" w:hAnsi="Times New Roman" w:eastAsia="宋体" w:cs="Times New Roman"/>
                <w:sz w:val="18"/>
                <w:szCs w:val="18"/>
              </w:rPr>
            </w:pPr>
            <w:r>
              <w:rPr>
                <w:rFonts w:hint="default" w:ascii="Times New Roman" w:hAnsi="Times New Roman" w:eastAsia="宋体" w:cs="Times New Roman"/>
                <w:color w:val="000000"/>
                <w:sz w:val="18"/>
                <w:szCs w:val="18"/>
              </w:rPr>
              <w:t>报告了</w:t>
            </w:r>
            <w:r>
              <w:rPr>
                <w:rFonts w:hint="default" w:ascii="Times New Roman" w:hAnsi="Times New Roman" w:eastAsia="宋体" w:cs="Times New Roman"/>
                <w:color w:val="000000"/>
                <w:sz w:val="18"/>
                <w:szCs w:val="18"/>
                <w:lang w:val="en-US" w:eastAsia="zh-CN"/>
              </w:rPr>
              <w:t>部分竞争对手或标杆的</w:t>
            </w:r>
            <w:r>
              <w:rPr>
                <w:rFonts w:hint="default" w:ascii="Times New Roman" w:hAnsi="Times New Roman" w:eastAsia="宋体" w:cs="Times New Roman"/>
                <w:color w:val="000000"/>
                <w:sz w:val="18"/>
                <w:szCs w:val="18"/>
              </w:rPr>
              <w:t>对比性数据。</w:t>
            </w:r>
          </w:p>
        </w:tc>
        <w:tc>
          <w:tcPr>
            <w:tcW w:w="2317" w:type="dxa"/>
            <w:tcBorders>
              <w:tl2br w:val="nil"/>
              <w:tr2bl w:val="nil"/>
            </w:tcBorders>
            <w:tcMar>
              <w:left w:w="108" w:type="dxa"/>
              <w:right w:w="108" w:type="dxa"/>
            </w:tcMar>
            <w:vAlign w:val="top"/>
          </w:tcPr>
          <w:p>
            <w:pPr>
              <w:pStyle w:val="7"/>
              <w:widowControl/>
              <w:wordWrap/>
              <w:adjustRightInd/>
              <w:snapToGrid/>
              <w:spacing w:before="0" w:beforeAutospacing="0" w:after="0" w:afterAutospacing="0" w:line="320" w:lineRule="exact"/>
              <w:jc w:val="both"/>
              <w:textAlignment w:val="auto"/>
              <w:rPr>
                <w:rFonts w:hint="default" w:ascii="Times New Roman" w:hAnsi="Times New Roman" w:eastAsia="宋体" w:cs="Times New Roman"/>
                <w:sz w:val="18"/>
                <w:szCs w:val="18"/>
              </w:rPr>
            </w:pPr>
            <w:r>
              <w:rPr>
                <w:rFonts w:hint="default" w:ascii="Times New Roman" w:hAnsi="Times New Roman" w:eastAsia="宋体" w:cs="Times New Roman"/>
                <w:color w:val="000000"/>
                <w:sz w:val="18"/>
                <w:szCs w:val="18"/>
              </w:rPr>
              <w:t>报告了一些趋势数据，并且主要的趋势是有利的。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38" w:hRule="atLeast"/>
          <w:tblCellSpacing w:w="0" w:type="dxa"/>
        </w:trPr>
        <w:tc>
          <w:tcPr>
            <w:tcW w:w="638" w:type="dxa"/>
            <w:tcBorders>
              <w:tl2br w:val="nil"/>
              <w:tr2bl w:val="nil"/>
            </w:tcBorders>
            <w:tcMar>
              <w:left w:w="108" w:type="dxa"/>
              <w:right w:w="108" w:type="dxa"/>
            </w:tcMar>
            <w:vAlign w:val="center"/>
          </w:tcPr>
          <w:p>
            <w:pPr>
              <w:pStyle w:val="7"/>
              <w:widowControl/>
              <w:wordWrap/>
              <w:adjustRightInd/>
              <w:snapToGrid/>
              <w:spacing w:before="0" w:beforeAutospacing="0" w:after="0" w:afterAutospacing="0" w:line="320" w:lineRule="exact"/>
              <w:jc w:val="center"/>
              <w:textAlignment w:val="auto"/>
              <w:rPr>
                <w:rFonts w:hint="default" w:ascii="Times New Roman" w:hAnsi="Times New Roman" w:eastAsia="宋体" w:cs="Times New Roman"/>
                <w:sz w:val="18"/>
                <w:szCs w:val="18"/>
              </w:rPr>
            </w:pPr>
            <w:r>
              <w:rPr>
                <w:rFonts w:hint="default" w:ascii="Times New Roman" w:hAnsi="Times New Roman" w:eastAsia="宋体" w:cs="Times New Roman"/>
                <w:color w:val="000000"/>
                <w:sz w:val="18"/>
                <w:szCs w:val="18"/>
              </w:rPr>
              <w:t>4</w:t>
            </w:r>
          </w:p>
        </w:tc>
        <w:tc>
          <w:tcPr>
            <w:tcW w:w="1000" w:type="dxa"/>
            <w:tcBorders>
              <w:tl2br w:val="nil"/>
              <w:tr2bl w:val="nil"/>
            </w:tcBorders>
            <w:tcMar>
              <w:left w:w="108" w:type="dxa"/>
              <w:right w:w="108" w:type="dxa"/>
            </w:tcMar>
            <w:vAlign w:val="center"/>
          </w:tcPr>
          <w:p>
            <w:pPr>
              <w:pStyle w:val="7"/>
              <w:widowControl/>
              <w:wordWrap/>
              <w:adjustRightInd/>
              <w:snapToGrid/>
              <w:spacing w:before="0" w:beforeAutospacing="0" w:after="0" w:afterAutospacing="0" w:line="320" w:lineRule="exact"/>
              <w:jc w:val="both"/>
              <w:textAlignment w:val="auto"/>
              <w:rPr>
                <w:rFonts w:hint="default" w:ascii="Times New Roman" w:hAnsi="Times New Roman" w:eastAsia="宋体" w:cs="Times New Roman"/>
                <w:sz w:val="18"/>
                <w:szCs w:val="18"/>
              </w:rPr>
            </w:pPr>
            <w:r>
              <w:rPr>
                <w:rFonts w:hint="default" w:ascii="Times New Roman" w:hAnsi="Times New Roman" w:eastAsia="宋体" w:cs="Times New Roman"/>
                <w:color w:val="000000"/>
                <w:sz w:val="18"/>
                <w:szCs w:val="18"/>
              </w:rPr>
              <w:t>55%，60%，65%或70%</w:t>
            </w:r>
          </w:p>
        </w:tc>
        <w:tc>
          <w:tcPr>
            <w:tcW w:w="2040" w:type="dxa"/>
            <w:tcBorders>
              <w:tl2br w:val="nil"/>
              <w:tr2bl w:val="nil"/>
            </w:tcBorders>
            <w:tcMar>
              <w:left w:w="108" w:type="dxa"/>
              <w:right w:w="108" w:type="dxa"/>
            </w:tcMar>
            <w:vAlign w:val="top"/>
          </w:tcPr>
          <w:p>
            <w:pPr>
              <w:pStyle w:val="7"/>
              <w:widowControl/>
              <w:wordWrap/>
              <w:adjustRightInd/>
              <w:snapToGrid/>
              <w:spacing w:before="0" w:beforeAutospacing="0" w:after="0" w:afterAutospacing="0" w:line="320" w:lineRule="exact"/>
              <w:jc w:val="both"/>
              <w:textAlignment w:val="auto"/>
              <w:rPr>
                <w:rFonts w:hint="default" w:ascii="Times New Roman" w:hAnsi="Times New Roman" w:eastAsia="宋体" w:cs="Times New Roman"/>
                <w:sz w:val="18"/>
                <w:szCs w:val="18"/>
              </w:rPr>
            </w:pPr>
            <w:r>
              <w:rPr>
                <w:rFonts w:hint="default" w:ascii="Times New Roman" w:hAnsi="Times New Roman" w:eastAsia="宋体" w:cs="Times New Roman"/>
                <w:color w:val="000000"/>
                <w:sz w:val="18"/>
                <w:szCs w:val="18"/>
              </w:rPr>
              <w:t>针对</w:t>
            </w:r>
            <w:r>
              <w:rPr>
                <w:rFonts w:hint="default" w:ascii="Times New Roman" w:hAnsi="Times New Roman" w:eastAsia="宋体" w:cs="Times New Roman"/>
                <w:b/>
                <w:bCs/>
                <w:color w:val="000000"/>
                <w:sz w:val="18"/>
                <w:szCs w:val="18"/>
                <w:lang w:val="en-US" w:eastAsia="zh-CN"/>
              </w:rPr>
              <w:t>评价要点，</w:t>
            </w:r>
            <w:r>
              <w:rPr>
                <w:rFonts w:hint="default" w:ascii="Times New Roman" w:hAnsi="Times New Roman" w:eastAsia="宋体" w:cs="Times New Roman"/>
                <w:color w:val="000000"/>
                <w:sz w:val="18"/>
                <w:szCs w:val="18"/>
              </w:rPr>
              <w:t>有</w:t>
            </w:r>
            <w:r>
              <w:rPr>
                <w:rFonts w:hint="default" w:ascii="Times New Roman" w:hAnsi="Times New Roman" w:eastAsia="宋体" w:cs="Times New Roman"/>
                <w:color w:val="000000"/>
                <w:sz w:val="18"/>
                <w:szCs w:val="18"/>
                <w:lang w:val="en-US" w:eastAsia="zh-CN"/>
              </w:rPr>
              <w:t>大部分完整的、适宜的</w:t>
            </w:r>
            <w:r>
              <w:rPr>
                <w:rFonts w:hint="default" w:ascii="Times New Roman" w:hAnsi="Times New Roman" w:eastAsia="宋体" w:cs="Times New Roman"/>
                <w:color w:val="000000"/>
                <w:sz w:val="18"/>
                <w:szCs w:val="18"/>
              </w:rPr>
              <w:t>、有效的方法。</w:t>
            </w:r>
          </w:p>
        </w:tc>
        <w:tc>
          <w:tcPr>
            <w:tcW w:w="2083" w:type="dxa"/>
            <w:tcBorders>
              <w:tl2br w:val="nil"/>
              <w:tr2bl w:val="nil"/>
            </w:tcBorders>
            <w:tcMar>
              <w:left w:w="108" w:type="dxa"/>
              <w:right w:w="108" w:type="dxa"/>
            </w:tcMar>
            <w:vAlign w:val="top"/>
          </w:tcPr>
          <w:p>
            <w:pPr>
              <w:pStyle w:val="7"/>
              <w:widowControl/>
              <w:wordWrap/>
              <w:adjustRightInd/>
              <w:snapToGrid/>
              <w:spacing w:before="0" w:beforeAutospacing="0" w:after="0" w:afterAutospacing="0" w:line="320" w:lineRule="exact"/>
              <w:jc w:val="both"/>
              <w:textAlignment w:val="auto"/>
              <w:rPr>
                <w:rFonts w:hint="default" w:ascii="Times New Roman" w:hAnsi="Times New Roman" w:eastAsia="宋体" w:cs="Times New Roman"/>
                <w:sz w:val="18"/>
                <w:szCs w:val="18"/>
              </w:rPr>
            </w:pPr>
            <w:r>
              <w:rPr>
                <w:rFonts w:hint="default" w:ascii="Times New Roman" w:hAnsi="Times New Roman" w:eastAsia="宋体" w:cs="Times New Roman"/>
                <w:color w:val="000000"/>
                <w:sz w:val="18"/>
                <w:szCs w:val="18"/>
              </w:rPr>
              <w:t>在</w:t>
            </w:r>
            <w:r>
              <w:rPr>
                <w:rFonts w:hint="default" w:ascii="Times New Roman" w:hAnsi="Times New Roman" w:eastAsia="宋体" w:cs="Times New Roman"/>
                <w:color w:val="000000"/>
                <w:sz w:val="18"/>
                <w:szCs w:val="18"/>
                <w:lang w:val="en-US" w:eastAsia="zh-CN"/>
              </w:rPr>
              <w:t>部分</w:t>
            </w:r>
            <w:r>
              <w:rPr>
                <w:rFonts w:hint="default" w:ascii="Times New Roman" w:hAnsi="Times New Roman" w:eastAsia="宋体" w:cs="Times New Roman"/>
                <w:color w:val="000000"/>
                <w:sz w:val="18"/>
                <w:szCs w:val="18"/>
              </w:rPr>
              <w:t>领域或工作单位</w:t>
            </w:r>
            <w:r>
              <w:rPr>
                <w:rFonts w:hint="default" w:ascii="Times New Roman" w:hAnsi="Times New Roman" w:eastAsia="宋体" w:cs="Times New Roman"/>
                <w:color w:val="000000"/>
                <w:sz w:val="18"/>
                <w:szCs w:val="18"/>
                <w:lang w:val="en-US" w:eastAsia="zh-CN"/>
              </w:rPr>
              <w:t>展现了方法实施的一致性、彻底性和灵活性</w:t>
            </w:r>
            <w:r>
              <w:rPr>
                <w:rFonts w:hint="default" w:ascii="Times New Roman" w:hAnsi="Times New Roman" w:eastAsia="宋体" w:cs="Times New Roman"/>
                <w:color w:val="000000"/>
                <w:sz w:val="18"/>
                <w:szCs w:val="18"/>
              </w:rPr>
              <w:t>。</w:t>
            </w:r>
          </w:p>
        </w:tc>
        <w:tc>
          <w:tcPr>
            <w:tcW w:w="2469" w:type="dxa"/>
            <w:tcBorders>
              <w:tl2br w:val="nil"/>
              <w:tr2bl w:val="nil"/>
            </w:tcBorders>
            <w:tcMar>
              <w:left w:w="108" w:type="dxa"/>
              <w:right w:w="108" w:type="dxa"/>
            </w:tcMar>
            <w:vAlign w:val="top"/>
          </w:tcPr>
          <w:p>
            <w:pPr>
              <w:pStyle w:val="7"/>
              <w:widowControl/>
              <w:wordWrap/>
              <w:adjustRightInd/>
              <w:snapToGrid/>
              <w:spacing w:before="0" w:beforeAutospacing="0" w:after="0" w:afterAutospacing="0" w:line="320" w:lineRule="exact"/>
              <w:jc w:val="both"/>
              <w:textAlignment w:val="auto"/>
              <w:rPr>
                <w:rFonts w:hint="default" w:ascii="Times New Roman" w:hAnsi="Times New Roman" w:eastAsia="宋体" w:cs="Times New Roman"/>
                <w:sz w:val="18"/>
                <w:szCs w:val="18"/>
              </w:rPr>
            </w:pPr>
            <w:r>
              <w:rPr>
                <w:rFonts w:hint="default" w:ascii="Times New Roman" w:hAnsi="Times New Roman" w:eastAsia="宋体" w:cs="Times New Roman"/>
                <w:color w:val="000000"/>
                <w:sz w:val="18"/>
                <w:szCs w:val="18"/>
                <w:lang w:val="en-US" w:eastAsia="zh-CN"/>
              </w:rPr>
              <w:t>有计划有步骤的进行评估，</w:t>
            </w:r>
            <w:r>
              <w:rPr>
                <w:rFonts w:hint="default" w:ascii="Times New Roman" w:hAnsi="Times New Roman" w:eastAsia="宋体" w:cs="Times New Roman"/>
                <w:color w:val="000000"/>
                <w:sz w:val="18"/>
                <w:szCs w:val="18"/>
              </w:rPr>
              <w:t>以改进关键</w:t>
            </w:r>
            <w:r>
              <w:rPr>
                <w:rFonts w:hint="default" w:ascii="Times New Roman" w:hAnsi="Times New Roman" w:eastAsia="宋体" w:cs="Times New Roman"/>
                <w:color w:val="000000"/>
                <w:sz w:val="18"/>
                <w:szCs w:val="18"/>
                <w:lang w:val="en-US" w:eastAsia="zh-CN"/>
              </w:rPr>
              <w:t>活动</w:t>
            </w:r>
            <w:r>
              <w:rPr>
                <w:rFonts w:hint="default" w:ascii="Times New Roman" w:hAnsi="Times New Roman" w:eastAsia="宋体" w:cs="Times New Roman"/>
                <w:color w:val="000000"/>
                <w:sz w:val="18"/>
                <w:szCs w:val="18"/>
              </w:rPr>
              <w:t>的效率和有效性</w:t>
            </w:r>
            <w:r>
              <w:rPr>
                <w:rFonts w:hint="default" w:ascii="Times New Roman" w:hAnsi="Times New Roman" w:eastAsia="宋体" w:cs="Times New Roman"/>
                <w:color w:val="000000"/>
                <w:sz w:val="18"/>
                <w:szCs w:val="18"/>
                <w:lang w:eastAsia="zh-CN"/>
              </w:rPr>
              <w:t>，</w:t>
            </w:r>
            <w:r>
              <w:rPr>
                <w:rFonts w:hint="default" w:ascii="Times New Roman" w:hAnsi="Times New Roman" w:eastAsia="宋体" w:cs="Times New Roman"/>
                <w:color w:val="000000"/>
                <w:sz w:val="18"/>
                <w:szCs w:val="18"/>
                <w:lang w:val="en-US" w:eastAsia="zh-CN"/>
              </w:rPr>
              <w:t>并体现出适当的创新性</w:t>
            </w:r>
            <w:r>
              <w:rPr>
                <w:rFonts w:hint="default" w:ascii="Times New Roman" w:hAnsi="Times New Roman" w:eastAsia="宋体" w:cs="Times New Roman"/>
                <w:color w:val="000000"/>
                <w:sz w:val="18"/>
                <w:szCs w:val="18"/>
              </w:rPr>
              <w:t>。</w:t>
            </w:r>
          </w:p>
        </w:tc>
        <w:tc>
          <w:tcPr>
            <w:tcW w:w="1885" w:type="dxa"/>
            <w:tcBorders>
              <w:tl2br w:val="nil"/>
              <w:tr2bl w:val="nil"/>
            </w:tcBorders>
            <w:tcMar>
              <w:left w:w="108" w:type="dxa"/>
              <w:right w:w="108" w:type="dxa"/>
            </w:tcMar>
            <w:vAlign w:val="top"/>
          </w:tcPr>
          <w:p>
            <w:pPr>
              <w:pStyle w:val="7"/>
              <w:widowControl/>
              <w:wordWrap/>
              <w:adjustRightInd/>
              <w:snapToGrid/>
              <w:spacing w:before="0" w:beforeAutospacing="0" w:after="0" w:afterAutospacing="0" w:line="320" w:lineRule="exact"/>
              <w:jc w:val="both"/>
              <w:textAlignment w:val="auto"/>
              <w:rPr>
                <w:rFonts w:hint="default" w:ascii="Times New Roman" w:hAnsi="Times New Roman" w:eastAsia="宋体" w:cs="Times New Roman"/>
                <w:sz w:val="18"/>
                <w:szCs w:val="18"/>
              </w:rPr>
            </w:pPr>
            <w:r>
              <w:rPr>
                <w:rFonts w:hint="default" w:ascii="Times New Roman" w:hAnsi="Times New Roman" w:eastAsia="宋体" w:cs="Times New Roman"/>
                <w:color w:val="000000"/>
                <w:sz w:val="18"/>
                <w:szCs w:val="18"/>
              </w:rPr>
              <w:t>针对</w:t>
            </w:r>
            <w:r>
              <w:rPr>
                <w:rFonts w:hint="default" w:ascii="Times New Roman" w:hAnsi="Times New Roman" w:eastAsia="宋体" w:cs="Times New Roman"/>
                <w:b/>
                <w:bCs/>
                <w:color w:val="000000"/>
                <w:sz w:val="18"/>
                <w:szCs w:val="18"/>
                <w:lang w:val="en-US" w:eastAsia="zh-CN"/>
              </w:rPr>
              <w:t>评价要点</w:t>
            </w:r>
            <w:r>
              <w:rPr>
                <w:rFonts w:hint="default" w:ascii="Times New Roman" w:hAnsi="Times New Roman" w:eastAsia="宋体" w:cs="Times New Roman"/>
                <w:color w:val="000000"/>
                <w:sz w:val="18"/>
                <w:szCs w:val="18"/>
              </w:rPr>
              <w:t>报告了好的</w:t>
            </w:r>
            <w:r>
              <w:rPr>
                <w:rFonts w:hint="default" w:ascii="Times New Roman" w:hAnsi="Times New Roman" w:eastAsia="宋体" w:cs="Times New Roman"/>
                <w:color w:val="000000"/>
                <w:sz w:val="18"/>
                <w:szCs w:val="18"/>
                <w:lang w:val="en-US" w:eastAsia="zh-CN"/>
              </w:rPr>
              <w:t>良</w:t>
            </w:r>
            <w:r>
              <w:rPr>
                <w:rFonts w:hint="default" w:ascii="Times New Roman" w:hAnsi="Times New Roman" w:eastAsia="宋体" w:cs="Times New Roman"/>
                <w:color w:val="000000"/>
                <w:sz w:val="18"/>
                <w:szCs w:val="18"/>
              </w:rPr>
              <w:t>好的组织</w:t>
            </w:r>
            <w:r>
              <w:rPr>
                <w:rFonts w:hint="default" w:ascii="Times New Roman" w:hAnsi="Times New Roman" w:eastAsia="宋体" w:cs="Times New Roman"/>
                <w:color w:val="000000"/>
                <w:sz w:val="18"/>
                <w:szCs w:val="18"/>
                <w:lang w:val="en-US" w:eastAsia="zh-CN"/>
              </w:rPr>
              <w:t>效益状况</w:t>
            </w:r>
            <w:r>
              <w:rPr>
                <w:rFonts w:hint="default" w:ascii="Times New Roman" w:hAnsi="Times New Roman" w:eastAsia="宋体" w:cs="Times New Roman"/>
                <w:color w:val="000000"/>
                <w:sz w:val="18"/>
                <w:szCs w:val="18"/>
              </w:rPr>
              <w:t>。</w:t>
            </w:r>
          </w:p>
        </w:tc>
        <w:tc>
          <w:tcPr>
            <w:tcW w:w="2313" w:type="dxa"/>
            <w:tcBorders>
              <w:tl2br w:val="nil"/>
              <w:tr2bl w:val="nil"/>
            </w:tcBorders>
            <w:tcMar>
              <w:left w:w="108" w:type="dxa"/>
              <w:right w:w="108" w:type="dxa"/>
            </w:tcMar>
            <w:vAlign w:val="top"/>
          </w:tcPr>
          <w:p>
            <w:pPr>
              <w:pStyle w:val="7"/>
              <w:widowControl/>
              <w:wordWrap/>
              <w:adjustRightInd/>
              <w:snapToGrid/>
              <w:spacing w:before="0" w:beforeAutospacing="0" w:after="0" w:afterAutospacing="0" w:line="320" w:lineRule="exact"/>
              <w:jc w:val="both"/>
              <w:textAlignment w:val="auto"/>
              <w:rPr>
                <w:rFonts w:hint="default" w:ascii="Times New Roman" w:hAnsi="Times New Roman" w:eastAsia="宋体" w:cs="Times New Roman"/>
                <w:sz w:val="18"/>
                <w:szCs w:val="18"/>
              </w:rPr>
            </w:pPr>
            <w:r>
              <w:rPr>
                <w:rFonts w:hint="default" w:ascii="Times New Roman" w:hAnsi="Times New Roman" w:eastAsia="宋体" w:cs="Times New Roman"/>
                <w:color w:val="000000"/>
                <w:sz w:val="18"/>
                <w:szCs w:val="18"/>
              </w:rPr>
              <w:t>与有关竞争者和（或）标杆进行对比评价，某些</w:t>
            </w:r>
            <w:r>
              <w:rPr>
                <w:rFonts w:hint="default" w:ascii="Times New Roman" w:hAnsi="Times New Roman" w:eastAsia="宋体" w:cs="Times New Roman"/>
                <w:color w:val="000000"/>
                <w:sz w:val="18"/>
                <w:szCs w:val="18"/>
                <w:lang w:val="en-US" w:eastAsia="zh-CN"/>
              </w:rPr>
              <w:t>指标</w:t>
            </w:r>
            <w:r>
              <w:rPr>
                <w:rFonts w:hint="default" w:ascii="Times New Roman" w:hAnsi="Times New Roman" w:eastAsia="宋体" w:cs="Times New Roman"/>
                <w:color w:val="000000"/>
                <w:sz w:val="18"/>
                <w:szCs w:val="18"/>
              </w:rPr>
              <w:t>显示</w:t>
            </w:r>
            <w:r>
              <w:rPr>
                <w:rFonts w:hint="default" w:ascii="Times New Roman" w:hAnsi="Times New Roman" w:eastAsia="宋体" w:cs="Times New Roman"/>
                <w:color w:val="000000"/>
                <w:sz w:val="18"/>
                <w:szCs w:val="18"/>
                <w:lang w:val="en-US" w:eastAsia="zh-CN"/>
              </w:rPr>
              <w:t>出</w:t>
            </w:r>
            <w:r>
              <w:rPr>
                <w:rFonts w:hint="default" w:ascii="Times New Roman" w:hAnsi="Times New Roman" w:eastAsia="宋体" w:cs="Times New Roman"/>
                <w:color w:val="000000"/>
                <w:sz w:val="18"/>
                <w:szCs w:val="18"/>
              </w:rPr>
              <w:t>“</w:t>
            </w:r>
            <w:r>
              <w:rPr>
                <w:rFonts w:hint="default" w:ascii="Times New Roman" w:hAnsi="Times New Roman" w:eastAsia="宋体" w:cs="Times New Roman"/>
                <w:color w:val="000000"/>
                <w:sz w:val="18"/>
                <w:szCs w:val="18"/>
                <w:lang w:val="en-US" w:eastAsia="zh-CN"/>
              </w:rPr>
              <w:t>良</w:t>
            </w:r>
            <w:r>
              <w:rPr>
                <w:rFonts w:hint="default" w:ascii="Times New Roman" w:hAnsi="Times New Roman" w:eastAsia="宋体" w:cs="Times New Roman"/>
                <w:color w:val="000000"/>
                <w:sz w:val="18"/>
                <w:szCs w:val="18"/>
              </w:rPr>
              <w:t>好”的相对</w:t>
            </w:r>
            <w:r>
              <w:rPr>
                <w:rFonts w:hint="default" w:ascii="Times New Roman" w:hAnsi="Times New Roman" w:eastAsia="宋体" w:cs="Times New Roman"/>
                <w:color w:val="000000"/>
                <w:sz w:val="18"/>
                <w:szCs w:val="18"/>
                <w:lang w:val="en-US" w:eastAsia="zh-CN"/>
              </w:rPr>
              <w:t>状态</w:t>
            </w:r>
            <w:r>
              <w:rPr>
                <w:rFonts w:hint="default" w:ascii="Times New Roman" w:hAnsi="Times New Roman" w:eastAsia="宋体" w:cs="Times New Roman"/>
                <w:color w:val="000000"/>
                <w:sz w:val="18"/>
                <w:szCs w:val="18"/>
              </w:rPr>
              <w:t>。</w:t>
            </w:r>
          </w:p>
        </w:tc>
        <w:tc>
          <w:tcPr>
            <w:tcW w:w="2317" w:type="dxa"/>
            <w:tcBorders>
              <w:tl2br w:val="nil"/>
              <w:tr2bl w:val="nil"/>
            </w:tcBorders>
            <w:tcMar>
              <w:left w:w="108" w:type="dxa"/>
              <w:right w:w="108" w:type="dxa"/>
            </w:tcMar>
            <w:vAlign w:val="top"/>
          </w:tcPr>
          <w:p>
            <w:pPr>
              <w:pStyle w:val="7"/>
              <w:widowControl/>
              <w:wordWrap/>
              <w:adjustRightInd/>
              <w:snapToGrid/>
              <w:spacing w:before="0" w:beforeAutospacing="0" w:after="0" w:afterAutospacing="0" w:line="320" w:lineRule="exact"/>
              <w:jc w:val="both"/>
              <w:textAlignment w:val="auto"/>
              <w:rPr>
                <w:rFonts w:hint="default" w:ascii="Times New Roman" w:hAnsi="Times New Roman" w:eastAsia="宋体" w:cs="Times New Roman"/>
                <w:sz w:val="18"/>
                <w:szCs w:val="18"/>
              </w:rPr>
            </w:pPr>
            <w:r>
              <w:rPr>
                <w:rFonts w:hint="default" w:ascii="Times New Roman" w:hAnsi="Times New Roman" w:eastAsia="宋体" w:cs="Times New Roman"/>
                <w:color w:val="000000"/>
                <w:sz w:val="18"/>
                <w:szCs w:val="18"/>
              </w:rPr>
              <w:t>在对于达成组织的使命</w:t>
            </w:r>
            <w:r>
              <w:rPr>
                <w:rFonts w:hint="default" w:ascii="Times New Roman" w:hAnsi="Times New Roman" w:eastAsia="宋体" w:cs="Times New Roman"/>
                <w:color w:val="000000"/>
                <w:sz w:val="18"/>
                <w:szCs w:val="18"/>
                <w:lang w:val="en-US" w:eastAsia="zh-CN"/>
              </w:rPr>
              <w:t>和战略</w:t>
            </w:r>
            <w:r>
              <w:rPr>
                <w:rFonts w:hint="default" w:ascii="Times New Roman" w:hAnsi="Times New Roman" w:eastAsia="宋体" w:cs="Times New Roman"/>
                <w:color w:val="000000"/>
                <w:sz w:val="18"/>
                <w:szCs w:val="18"/>
              </w:rPr>
              <w:t>重要的领域，</w:t>
            </w:r>
            <w:r>
              <w:rPr>
                <w:rFonts w:hint="default" w:ascii="Times New Roman" w:hAnsi="Times New Roman" w:eastAsia="宋体" w:cs="Times New Roman"/>
                <w:color w:val="000000"/>
                <w:sz w:val="18"/>
                <w:szCs w:val="18"/>
                <w:lang w:val="en-US" w:eastAsia="zh-CN"/>
              </w:rPr>
              <w:t>显示</w:t>
            </w:r>
            <w:r>
              <w:rPr>
                <w:rFonts w:hint="default" w:ascii="Times New Roman" w:hAnsi="Times New Roman" w:eastAsia="宋体" w:cs="Times New Roman"/>
                <w:color w:val="000000"/>
                <w:sz w:val="18"/>
                <w:szCs w:val="18"/>
              </w:rPr>
              <w:t>有利的趋势。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26" w:hRule="atLeast"/>
          <w:tblCellSpacing w:w="0" w:type="dxa"/>
        </w:trPr>
        <w:tc>
          <w:tcPr>
            <w:tcW w:w="638" w:type="dxa"/>
            <w:tcBorders>
              <w:tl2br w:val="nil"/>
              <w:tr2bl w:val="nil"/>
            </w:tcBorders>
            <w:tcMar>
              <w:left w:w="108" w:type="dxa"/>
              <w:right w:w="108" w:type="dxa"/>
            </w:tcMar>
            <w:vAlign w:val="center"/>
          </w:tcPr>
          <w:p>
            <w:pPr>
              <w:pStyle w:val="7"/>
              <w:widowControl/>
              <w:wordWrap/>
              <w:adjustRightInd/>
              <w:snapToGrid/>
              <w:spacing w:before="0" w:beforeAutospacing="0" w:after="0" w:afterAutospacing="0" w:line="320" w:lineRule="exact"/>
              <w:jc w:val="center"/>
              <w:textAlignment w:val="auto"/>
              <w:rPr>
                <w:rFonts w:hint="default" w:ascii="Times New Roman" w:hAnsi="Times New Roman" w:eastAsia="宋体" w:cs="Times New Roman"/>
                <w:sz w:val="18"/>
                <w:szCs w:val="18"/>
              </w:rPr>
            </w:pPr>
            <w:r>
              <w:rPr>
                <w:rFonts w:hint="default" w:ascii="Times New Roman" w:hAnsi="Times New Roman" w:eastAsia="宋体" w:cs="Times New Roman"/>
                <w:color w:val="000000"/>
                <w:sz w:val="18"/>
                <w:szCs w:val="18"/>
              </w:rPr>
              <w:t>5</w:t>
            </w:r>
          </w:p>
        </w:tc>
        <w:tc>
          <w:tcPr>
            <w:tcW w:w="1000" w:type="dxa"/>
            <w:tcBorders>
              <w:tl2br w:val="nil"/>
              <w:tr2bl w:val="nil"/>
            </w:tcBorders>
            <w:tcMar>
              <w:left w:w="108" w:type="dxa"/>
              <w:right w:w="108" w:type="dxa"/>
            </w:tcMar>
            <w:vAlign w:val="center"/>
          </w:tcPr>
          <w:p>
            <w:pPr>
              <w:pStyle w:val="7"/>
              <w:widowControl/>
              <w:wordWrap/>
              <w:adjustRightInd/>
              <w:snapToGrid/>
              <w:spacing w:before="0" w:beforeAutospacing="0" w:after="0" w:afterAutospacing="0" w:line="320" w:lineRule="exact"/>
              <w:jc w:val="both"/>
              <w:textAlignment w:val="auto"/>
              <w:rPr>
                <w:rFonts w:hint="default" w:ascii="Times New Roman" w:hAnsi="Times New Roman" w:eastAsia="宋体" w:cs="Times New Roman"/>
                <w:sz w:val="18"/>
                <w:szCs w:val="18"/>
              </w:rPr>
            </w:pPr>
            <w:r>
              <w:rPr>
                <w:rFonts w:hint="default" w:ascii="Times New Roman" w:hAnsi="Times New Roman" w:eastAsia="宋体" w:cs="Times New Roman"/>
                <w:color w:val="000000"/>
                <w:sz w:val="18"/>
                <w:szCs w:val="18"/>
              </w:rPr>
              <w:t>75%，80%或85%</w:t>
            </w:r>
          </w:p>
        </w:tc>
        <w:tc>
          <w:tcPr>
            <w:tcW w:w="2040" w:type="dxa"/>
            <w:tcBorders>
              <w:tl2br w:val="nil"/>
              <w:tr2bl w:val="nil"/>
            </w:tcBorders>
            <w:tcMar>
              <w:left w:w="108" w:type="dxa"/>
              <w:right w:w="108" w:type="dxa"/>
            </w:tcMar>
            <w:vAlign w:val="top"/>
          </w:tcPr>
          <w:p>
            <w:pPr>
              <w:pStyle w:val="7"/>
              <w:widowControl/>
              <w:wordWrap/>
              <w:adjustRightInd/>
              <w:snapToGrid/>
              <w:spacing w:before="0" w:beforeAutospacing="0" w:after="0" w:afterAutospacing="0" w:line="320" w:lineRule="exact"/>
              <w:ind w:left="0" w:leftChars="0" w:right="0"/>
              <w:jc w:val="both"/>
              <w:textAlignment w:val="auto"/>
              <w:rPr>
                <w:rFonts w:hint="default" w:ascii="Times New Roman" w:hAnsi="Times New Roman" w:eastAsia="宋体" w:cs="Times New Roman"/>
                <w:sz w:val="18"/>
                <w:szCs w:val="18"/>
              </w:rPr>
            </w:pPr>
            <w:r>
              <w:rPr>
                <w:rFonts w:hint="default" w:ascii="Times New Roman" w:hAnsi="Times New Roman" w:eastAsia="宋体" w:cs="Times New Roman"/>
                <w:color w:val="000000"/>
                <w:sz w:val="18"/>
                <w:szCs w:val="18"/>
              </w:rPr>
              <w:t>针对</w:t>
            </w:r>
            <w:r>
              <w:rPr>
                <w:rFonts w:hint="default" w:ascii="Times New Roman" w:hAnsi="Times New Roman" w:eastAsia="宋体" w:cs="Times New Roman"/>
                <w:b/>
                <w:bCs/>
                <w:color w:val="000000"/>
                <w:sz w:val="18"/>
                <w:szCs w:val="18"/>
                <w:lang w:val="en-US" w:eastAsia="zh-CN"/>
              </w:rPr>
              <w:t>评价要点，</w:t>
            </w:r>
            <w:r>
              <w:rPr>
                <w:rFonts w:hint="default" w:ascii="Times New Roman" w:hAnsi="Times New Roman" w:eastAsia="宋体" w:cs="Times New Roman"/>
                <w:color w:val="000000"/>
                <w:sz w:val="18"/>
                <w:szCs w:val="18"/>
              </w:rPr>
              <w:t>有</w:t>
            </w:r>
            <w:r>
              <w:rPr>
                <w:rFonts w:hint="default" w:ascii="Times New Roman" w:hAnsi="Times New Roman" w:eastAsia="宋体" w:cs="Times New Roman"/>
                <w:color w:val="000000"/>
                <w:sz w:val="18"/>
                <w:szCs w:val="18"/>
                <w:lang w:val="en-US" w:eastAsia="zh-CN"/>
              </w:rPr>
              <w:t>绝大部分完整的、适宜的</w:t>
            </w:r>
            <w:r>
              <w:rPr>
                <w:rFonts w:hint="default" w:ascii="Times New Roman" w:hAnsi="Times New Roman" w:eastAsia="宋体" w:cs="Times New Roman"/>
                <w:color w:val="000000"/>
                <w:sz w:val="18"/>
                <w:szCs w:val="18"/>
              </w:rPr>
              <w:t>、有效的方法。</w:t>
            </w:r>
          </w:p>
        </w:tc>
        <w:tc>
          <w:tcPr>
            <w:tcW w:w="2083" w:type="dxa"/>
            <w:tcBorders>
              <w:tl2br w:val="nil"/>
              <w:tr2bl w:val="nil"/>
            </w:tcBorders>
            <w:tcMar>
              <w:left w:w="108" w:type="dxa"/>
              <w:right w:w="108" w:type="dxa"/>
            </w:tcMar>
            <w:vAlign w:val="top"/>
          </w:tcPr>
          <w:p>
            <w:pPr>
              <w:pStyle w:val="7"/>
              <w:widowControl/>
              <w:wordWrap/>
              <w:adjustRightInd/>
              <w:snapToGrid/>
              <w:spacing w:before="0" w:beforeAutospacing="0" w:after="0" w:afterAutospacing="0" w:line="320" w:lineRule="exact"/>
              <w:ind w:left="0" w:leftChars="0" w:right="0"/>
              <w:jc w:val="both"/>
              <w:textAlignment w:val="auto"/>
              <w:rPr>
                <w:rFonts w:hint="default" w:ascii="Times New Roman" w:hAnsi="Times New Roman" w:eastAsia="宋体" w:cs="Times New Roman"/>
                <w:sz w:val="18"/>
                <w:szCs w:val="18"/>
              </w:rPr>
            </w:pPr>
            <w:r>
              <w:rPr>
                <w:rFonts w:hint="default" w:ascii="Times New Roman" w:hAnsi="Times New Roman" w:eastAsia="宋体" w:cs="Times New Roman"/>
                <w:color w:val="000000"/>
                <w:sz w:val="18"/>
                <w:szCs w:val="18"/>
              </w:rPr>
              <w:t>在</w:t>
            </w:r>
            <w:r>
              <w:rPr>
                <w:rFonts w:hint="default" w:ascii="Times New Roman" w:hAnsi="Times New Roman" w:eastAsia="宋体" w:cs="Times New Roman"/>
                <w:color w:val="000000"/>
                <w:sz w:val="18"/>
                <w:szCs w:val="18"/>
                <w:lang w:val="en-US" w:eastAsia="zh-CN"/>
              </w:rPr>
              <w:t>大部分</w:t>
            </w:r>
            <w:r>
              <w:rPr>
                <w:rFonts w:hint="default" w:ascii="Times New Roman" w:hAnsi="Times New Roman" w:eastAsia="宋体" w:cs="Times New Roman"/>
                <w:color w:val="000000"/>
                <w:sz w:val="18"/>
                <w:szCs w:val="18"/>
              </w:rPr>
              <w:t>领域或工作单位</w:t>
            </w:r>
            <w:r>
              <w:rPr>
                <w:rFonts w:hint="default" w:ascii="Times New Roman" w:hAnsi="Times New Roman" w:eastAsia="宋体" w:cs="Times New Roman"/>
                <w:color w:val="000000"/>
                <w:sz w:val="18"/>
                <w:szCs w:val="18"/>
                <w:lang w:val="en-US" w:eastAsia="zh-CN"/>
              </w:rPr>
              <w:t>展现了方法实施的一致性、彻底性和灵活性，且无明显差异</w:t>
            </w:r>
            <w:r>
              <w:rPr>
                <w:rFonts w:hint="default" w:ascii="Times New Roman" w:hAnsi="Times New Roman" w:eastAsia="宋体" w:cs="Times New Roman"/>
                <w:color w:val="000000"/>
                <w:sz w:val="18"/>
                <w:szCs w:val="18"/>
              </w:rPr>
              <w:t>。</w:t>
            </w:r>
          </w:p>
        </w:tc>
        <w:tc>
          <w:tcPr>
            <w:tcW w:w="2469" w:type="dxa"/>
            <w:tcBorders>
              <w:tl2br w:val="nil"/>
              <w:tr2bl w:val="nil"/>
            </w:tcBorders>
            <w:tcMar>
              <w:left w:w="108" w:type="dxa"/>
              <w:right w:w="108" w:type="dxa"/>
            </w:tcMar>
            <w:vAlign w:val="top"/>
          </w:tcPr>
          <w:p>
            <w:pPr>
              <w:pStyle w:val="7"/>
              <w:widowControl/>
              <w:wordWrap/>
              <w:adjustRightInd/>
              <w:snapToGrid/>
              <w:spacing w:before="0" w:beforeAutospacing="0" w:after="0" w:afterAutospacing="0" w:line="320" w:lineRule="exact"/>
              <w:jc w:val="both"/>
              <w:textAlignment w:val="auto"/>
              <w:rPr>
                <w:rFonts w:hint="default" w:ascii="Times New Roman" w:hAnsi="Times New Roman" w:eastAsia="宋体" w:cs="Times New Roman"/>
                <w:sz w:val="18"/>
                <w:szCs w:val="18"/>
              </w:rPr>
            </w:pPr>
            <w:r>
              <w:rPr>
                <w:rFonts w:hint="default" w:ascii="Times New Roman" w:hAnsi="Times New Roman" w:eastAsia="宋体" w:cs="Times New Roman"/>
                <w:color w:val="000000"/>
                <w:sz w:val="18"/>
                <w:szCs w:val="18"/>
              </w:rPr>
              <w:t>基于事实</w:t>
            </w:r>
            <w:r>
              <w:rPr>
                <w:rFonts w:hint="default" w:ascii="Times New Roman" w:hAnsi="Times New Roman" w:eastAsia="宋体" w:cs="Times New Roman"/>
                <w:color w:val="000000"/>
                <w:sz w:val="18"/>
                <w:szCs w:val="18"/>
                <w:lang w:val="en-US" w:eastAsia="zh-CN"/>
              </w:rPr>
              <w:t>有计划有步骤的进行评估，</w:t>
            </w:r>
            <w:r>
              <w:rPr>
                <w:rFonts w:hint="default" w:ascii="Times New Roman" w:hAnsi="Times New Roman" w:eastAsia="宋体" w:cs="Times New Roman"/>
                <w:color w:val="000000"/>
                <w:sz w:val="18"/>
                <w:szCs w:val="18"/>
              </w:rPr>
              <w:t>以改进关键</w:t>
            </w:r>
            <w:r>
              <w:rPr>
                <w:rFonts w:hint="default" w:ascii="Times New Roman" w:hAnsi="Times New Roman" w:eastAsia="宋体" w:cs="Times New Roman"/>
                <w:color w:val="000000"/>
                <w:sz w:val="18"/>
                <w:szCs w:val="18"/>
                <w:lang w:val="en-US" w:eastAsia="zh-CN"/>
              </w:rPr>
              <w:t>活动</w:t>
            </w:r>
            <w:r>
              <w:rPr>
                <w:rFonts w:hint="default" w:ascii="Times New Roman" w:hAnsi="Times New Roman" w:eastAsia="宋体" w:cs="Times New Roman"/>
                <w:color w:val="000000"/>
                <w:sz w:val="18"/>
                <w:szCs w:val="18"/>
              </w:rPr>
              <w:t>的效率和有效性</w:t>
            </w:r>
            <w:r>
              <w:rPr>
                <w:rFonts w:hint="default" w:ascii="Times New Roman" w:hAnsi="Times New Roman" w:eastAsia="宋体" w:cs="Times New Roman"/>
                <w:color w:val="000000"/>
                <w:sz w:val="18"/>
                <w:szCs w:val="18"/>
                <w:lang w:eastAsia="zh-CN"/>
              </w:rPr>
              <w:t>，</w:t>
            </w:r>
            <w:r>
              <w:rPr>
                <w:rFonts w:hint="default" w:ascii="Times New Roman" w:hAnsi="Times New Roman" w:eastAsia="宋体" w:cs="Times New Roman"/>
                <w:color w:val="000000"/>
                <w:sz w:val="18"/>
                <w:szCs w:val="18"/>
                <w:lang w:val="en-US" w:eastAsia="zh-CN"/>
              </w:rPr>
              <w:t>并体现出连续的创新性</w:t>
            </w:r>
            <w:r>
              <w:rPr>
                <w:rFonts w:hint="default" w:ascii="Times New Roman" w:hAnsi="Times New Roman" w:eastAsia="宋体" w:cs="Times New Roman"/>
                <w:color w:val="000000"/>
                <w:sz w:val="18"/>
                <w:szCs w:val="18"/>
              </w:rPr>
              <w:t>。</w:t>
            </w:r>
          </w:p>
        </w:tc>
        <w:tc>
          <w:tcPr>
            <w:tcW w:w="1885" w:type="dxa"/>
            <w:tcBorders>
              <w:tl2br w:val="nil"/>
              <w:tr2bl w:val="nil"/>
            </w:tcBorders>
            <w:tcMar>
              <w:left w:w="108" w:type="dxa"/>
              <w:right w:w="108" w:type="dxa"/>
            </w:tcMar>
            <w:vAlign w:val="top"/>
          </w:tcPr>
          <w:p>
            <w:pPr>
              <w:pStyle w:val="7"/>
              <w:widowControl/>
              <w:wordWrap/>
              <w:adjustRightInd/>
              <w:snapToGrid/>
              <w:spacing w:before="0" w:beforeAutospacing="0" w:after="0" w:afterAutospacing="0" w:line="320" w:lineRule="exact"/>
              <w:jc w:val="both"/>
              <w:textAlignment w:val="auto"/>
              <w:rPr>
                <w:rFonts w:hint="default" w:ascii="Times New Roman" w:hAnsi="Times New Roman" w:eastAsia="宋体" w:cs="Times New Roman"/>
                <w:sz w:val="18"/>
                <w:szCs w:val="18"/>
              </w:rPr>
            </w:pPr>
            <w:r>
              <w:rPr>
                <w:rFonts w:hint="default" w:ascii="Times New Roman" w:hAnsi="Times New Roman" w:eastAsia="宋体" w:cs="Times New Roman"/>
                <w:color w:val="000000"/>
                <w:sz w:val="18"/>
                <w:szCs w:val="18"/>
              </w:rPr>
              <w:t>针对</w:t>
            </w:r>
            <w:r>
              <w:rPr>
                <w:rFonts w:hint="default" w:ascii="Times New Roman" w:hAnsi="Times New Roman" w:eastAsia="宋体" w:cs="Times New Roman"/>
                <w:b/>
                <w:bCs/>
                <w:color w:val="000000"/>
                <w:sz w:val="18"/>
                <w:szCs w:val="18"/>
                <w:lang w:val="en-US" w:eastAsia="zh-CN"/>
              </w:rPr>
              <w:t>评价要点</w:t>
            </w:r>
            <w:r>
              <w:rPr>
                <w:rFonts w:hint="default" w:ascii="Times New Roman" w:hAnsi="Times New Roman" w:eastAsia="宋体" w:cs="Times New Roman"/>
                <w:color w:val="000000"/>
                <w:sz w:val="18"/>
                <w:szCs w:val="18"/>
              </w:rPr>
              <w:t>报告了从良好到卓越的组织</w:t>
            </w:r>
            <w:r>
              <w:rPr>
                <w:rFonts w:hint="default" w:ascii="Times New Roman" w:hAnsi="Times New Roman" w:eastAsia="宋体" w:cs="Times New Roman"/>
                <w:color w:val="000000"/>
                <w:sz w:val="18"/>
                <w:szCs w:val="18"/>
                <w:lang w:val="en-US" w:eastAsia="zh-CN"/>
              </w:rPr>
              <w:t>效益状态</w:t>
            </w:r>
            <w:r>
              <w:rPr>
                <w:rFonts w:hint="default" w:ascii="Times New Roman" w:hAnsi="Times New Roman" w:eastAsia="宋体" w:cs="Times New Roman"/>
                <w:color w:val="000000"/>
                <w:sz w:val="18"/>
                <w:szCs w:val="18"/>
              </w:rPr>
              <w:t>。</w:t>
            </w:r>
          </w:p>
        </w:tc>
        <w:tc>
          <w:tcPr>
            <w:tcW w:w="2313" w:type="dxa"/>
            <w:tcBorders>
              <w:tl2br w:val="nil"/>
              <w:tr2bl w:val="nil"/>
            </w:tcBorders>
            <w:tcMar>
              <w:left w:w="108" w:type="dxa"/>
              <w:right w:w="108" w:type="dxa"/>
            </w:tcMar>
            <w:vAlign w:val="top"/>
          </w:tcPr>
          <w:p>
            <w:pPr>
              <w:pStyle w:val="7"/>
              <w:widowControl/>
              <w:wordWrap/>
              <w:adjustRightInd/>
              <w:snapToGrid/>
              <w:spacing w:before="0" w:beforeAutospacing="0" w:after="0" w:afterAutospacing="0" w:line="320" w:lineRule="exact"/>
              <w:jc w:val="both"/>
              <w:textAlignment w:val="auto"/>
              <w:rPr>
                <w:rFonts w:hint="default" w:ascii="Times New Roman" w:hAnsi="Times New Roman" w:eastAsia="宋体" w:cs="Times New Roman"/>
                <w:sz w:val="18"/>
                <w:szCs w:val="18"/>
              </w:rPr>
            </w:pPr>
            <w:r>
              <w:rPr>
                <w:rFonts w:hint="default" w:ascii="Times New Roman" w:hAnsi="Times New Roman" w:eastAsia="宋体" w:cs="Times New Roman"/>
                <w:color w:val="000000"/>
                <w:sz w:val="18"/>
                <w:szCs w:val="18"/>
              </w:rPr>
              <w:t>与有关竞争者和（或）标杆进行对比</w:t>
            </w:r>
            <w:r>
              <w:rPr>
                <w:rFonts w:hint="default" w:ascii="Times New Roman" w:hAnsi="Times New Roman" w:eastAsia="宋体" w:cs="Times New Roman"/>
                <w:color w:val="000000"/>
                <w:sz w:val="18"/>
                <w:szCs w:val="18"/>
                <w:lang w:val="en-US" w:eastAsia="zh-CN"/>
              </w:rPr>
              <w:t>显示</w:t>
            </w:r>
            <w:r>
              <w:rPr>
                <w:rFonts w:hint="default" w:ascii="Times New Roman" w:hAnsi="Times New Roman" w:eastAsia="宋体" w:cs="Times New Roman"/>
                <w:color w:val="000000"/>
                <w:sz w:val="18"/>
                <w:szCs w:val="18"/>
              </w:rPr>
              <w:t>大多数趋势和当前</w:t>
            </w:r>
            <w:r>
              <w:rPr>
                <w:rFonts w:hint="default" w:ascii="Times New Roman" w:hAnsi="Times New Roman" w:eastAsia="宋体" w:cs="Times New Roman"/>
                <w:color w:val="000000"/>
                <w:sz w:val="18"/>
                <w:szCs w:val="18"/>
                <w:lang w:val="en-US" w:eastAsia="zh-CN"/>
              </w:rPr>
              <w:t>状态</w:t>
            </w:r>
            <w:r>
              <w:rPr>
                <w:rFonts w:hint="default" w:ascii="Times New Roman" w:hAnsi="Times New Roman" w:eastAsia="宋体" w:cs="Times New Roman"/>
                <w:color w:val="000000"/>
                <w:sz w:val="18"/>
                <w:szCs w:val="18"/>
              </w:rPr>
              <w:t>达到了“领先”和“非常好”的相对水平。</w:t>
            </w:r>
          </w:p>
        </w:tc>
        <w:tc>
          <w:tcPr>
            <w:tcW w:w="2317" w:type="dxa"/>
            <w:tcBorders>
              <w:tl2br w:val="nil"/>
              <w:tr2bl w:val="nil"/>
            </w:tcBorders>
            <w:tcMar>
              <w:left w:w="108" w:type="dxa"/>
              <w:right w:w="108" w:type="dxa"/>
            </w:tcMar>
            <w:vAlign w:val="top"/>
          </w:tcPr>
          <w:p>
            <w:pPr>
              <w:pStyle w:val="7"/>
              <w:widowControl/>
              <w:wordWrap/>
              <w:adjustRightInd/>
              <w:snapToGrid/>
              <w:spacing w:before="0" w:beforeAutospacing="0" w:after="0" w:afterAutospacing="0" w:line="320" w:lineRule="exact"/>
              <w:jc w:val="both"/>
              <w:textAlignment w:val="auto"/>
              <w:rPr>
                <w:rFonts w:hint="default" w:ascii="Times New Roman" w:hAnsi="Times New Roman" w:eastAsia="宋体" w:cs="Times New Roman"/>
                <w:sz w:val="18"/>
                <w:szCs w:val="18"/>
              </w:rPr>
            </w:pPr>
            <w:r>
              <w:rPr>
                <w:rFonts w:hint="default" w:ascii="Times New Roman" w:hAnsi="Times New Roman" w:eastAsia="宋体" w:cs="Times New Roman"/>
                <w:color w:val="000000"/>
                <w:sz w:val="18"/>
                <w:szCs w:val="18"/>
              </w:rPr>
              <w:t>到目前为止，在对达成组织的使命</w:t>
            </w:r>
            <w:r>
              <w:rPr>
                <w:rFonts w:hint="default" w:ascii="Times New Roman" w:hAnsi="Times New Roman" w:eastAsia="宋体" w:cs="Times New Roman"/>
                <w:color w:val="000000"/>
                <w:sz w:val="18"/>
                <w:szCs w:val="18"/>
                <w:lang w:val="en-US" w:eastAsia="zh-CN"/>
              </w:rPr>
              <w:t>和战略</w:t>
            </w:r>
            <w:r>
              <w:rPr>
                <w:rFonts w:hint="default" w:ascii="Times New Roman" w:hAnsi="Times New Roman" w:eastAsia="宋体" w:cs="Times New Roman"/>
                <w:color w:val="000000"/>
                <w:sz w:val="18"/>
                <w:szCs w:val="18"/>
              </w:rPr>
              <w:t>重要的大多数领域，保持了有利的趋势。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56" w:hRule="atLeast"/>
          <w:tblCellSpacing w:w="0" w:type="dxa"/>
        </w:trPr>
        <w:tc>
          <w:tcPr>
            <w:tcW w:w="638" w:type="dxa"/>
            <w:tcBorders>
              <w:tl2br w:val="nil"/>
              <w:tr2bl w:val="nil"/>
            </w:tcBorders>
            <w:tcMar>
              <w:left w:w="108" w:type="dxa"/>
              <w:right w:w="108" w:type="dxa"/>
            </w:tcMar>
            <w:vAlign w:val="center"/>
          </w:tcPr>
          <w:p>
            <w:pPr>
              <w:pStyle w:val="7"/>
              <w:widowControl/>
              <w:wordWrap/>
              <w:adjustRightInd/>
              <w:snapToGrid/>
              <w:spacing w:before="0" w:beforeAutospacing="0" w:after="0" w:afterAutospacing="0" w:line="320" w:lineRule="exact"/>
              <w:jc w:val="center"/>
              <w:textAlignment w:val="auto"/>
              <w:rPr>
                <w:rFonts w:hint="default" w:ascii="Times New Roman" w:hAnsi="Times New Roman" w:eastAsia="宋体" w:cs="Times New Roman"/>
                <w:sz w:val="18"/>
                <w:szCs w:val="18"/>
              </w:rPr>
            </w:pPr>
            <w:r>
              <w:rPr>
                <w:rFonts w:hint="default" w:ascii="Times New Roman" w:hAnsi="Times New Roman" w:eastAsia="宋体" w:cs="Times New Roman"/>
                <w:color w:val="000000"/>
                <w:sz w:val="18"/>
                <w:szCs w:val="18"/>
              </w:rPr>
              <w:t>6</w:t>
            </w:r>
          </w:p>
        </w:tc>
        <w:tc>
          <w:tcPr>
            <w:tcW w:w="1000" w:type="dxa"/>
            <w:tcBorders>
              <w:tl2br w:val="nil"/>
              <w:tr2bl w:val="nil"/>
            </w:tcBorders>
            <w:tcMar>
              <w:left w:w="108" w:type="dxa"/>
              <w:right w:w="108" w:type="dxa"/>
            </w:tcMar>
            <w:vAlign w:val="center"/>
          </w:tcPr>
          <w:p>
            <w:pPr>
              <w:pStyle w:val="7"/>
              <w:widowControl/>
              <w:wordWrap/>
              <w:adjustRightInd/>
              <w:snapToGrid/>
              <w:spacing w:before="0" w:beforeAutospacing="0" w:after="0" w:afterAutospacing="0" w:line="320" w:lineRule="exact"/>
              <w:jc w:val="both"/>
              <w:textAlignment w:val="auto"/>
              <w:rPr>
                <w:rFonts w:hint="default" w:ascii="Times New Roman" w:hAnsi="Times New Roman" w:eastAsia="宋体" w:cs="Times New Roman"/>
                <w:sz w:val="18"/>
                <w:szCs w:val="18"/>
              </w:rPr>
            </w:pPr>
            <w:r>
              <w:rPr>
                <w:rFonts w:hint="default" w:ascii="Times New Roman" w:hAnsi="Times New Roman" w:eastAsia="宋体" w:cs="Times New Roman"/>
                <w:color w:val="000000"/>
                <w:sz w:val="18"/>
                <w:szCs w:val="18"/>
              </w:rPr>
              <w:t>90%，95%，或100%</w:t>
            </w:r>
          </w:p>
        </w:tc>
        <w:tc>
          <w:tcPr>
            <w:tcW w:w="2040" w:type="dxa"/>
            <w:tcBorders>
              <w:tl2br w:val="nil"/>
              <w:tr2bl w:val="nil"/>
            </w:tcBorders>
            <w:tcMar>
              <w:left w:w="108" w:type="dxa"/>
              <w:right w:w="108" w:type="dxa"/>
            </w:tcMar>
            <w:vAlign w:val="top"/>
          </w:tcPr>
          <w:p>
            <w:pPr>
              <w:pStyle w:val="7"/>
              <w:widowControl/>
              <w:wordWrap/>
              <w:adjustRightInd/>
              <w:snapToGrid/>
              <w:spacing w:before="0" w:beforeAutospacing="0" w:after="0" w:afterAutospacing="0" w:line="320" w:lineRule="exact"/>
              <w:jc w:val="both"/>
              <w:textAlignment w:val="auto"/>
              <w:rPr>
                <w:rFonts w:hint="default" w:ascii="Times New Roman" w:hAnsi="Times New Roman" w:eastAsia="宋体" w:cs="Times New Roman"/>
                <w:sz w:val="18"/>
                <w:szCs w:val="18"/>
              </w:rPr>
            </w:pPr>
            <w:r>
              <w:rPr>
                <w:rFonts w:hint="default" w:ascii="Times New Roman" w:hAnsi="Times New Roman" w:eastAsia="宋体" w:cs="Times New Roman"/>
                <w:color w:val="000000"/>
                <w:sz w:val="18"/>
                <w:szCs w:val="18"/>
              </w:rPr>
              <w:t>针对</w:t>
            </w:r>
            <w:r>
              <w:rPr>
                <w:rFonts w:hint="default" w:ascii="Times New Roman" w:hAnsi="Times New Roman" w:eastAsia="宋体" w:cs="Times New Roman"/>
                <w:b/>
                <w:bCs/>
                <w:color w:val="000000"/>
                <w:sz w:val="18"/>
                <w:szCs w:val="18"/>
                <w:lang w:val="en-US" w:eastAsia="zh-CN"/>
              </w:rPr>
              <w:t>评价要点</w:t>
            </w:r>
            <w:r>
              <w:rPr>
                <w:rFonts w:hint="default" w:ascii="Times New Roman" w:hAnsi="Times New Roman" w:eastAsia="宋体" w:cs="Times New Roman"/>
                <w:color w:val="000000"/>
                <w:sz w:val="18"/>
                <w:szCs w:val="18"/>
              </w:rPr>
              <w:t>，全部有系统、有效的方法。</w:t>
            </w:r>
          </w:p>
        </w:tc>
        <w:tc>
          <w:tcPr>
            <w:tcW w:w="2083" w:type="dxa"/>
            <w:tcBorders>
              <w:tl2br w:val="nil"/>
              <w:tr2bl w:val="nil"/>
            </w:tcBorders>
            <w:tcMar>
              <w:left w:w="108" w:type="dxa"/>
              <w:right w:w="108" w:type="dxa"/>
            </w:tcMar>
            <w:vAlign w:val="top"/>
          </w:tcPr>
          <w:p>
            <w:pPr>
              <w:pStyle w:val="7"/>
              <w:widowControl/>
              <w:wordWrap/>
              <w:adjustRightInd/>
              <w:snapToGrid/>
              <w:spacing w:before="0" w:beforeAutospacing="0" w:after="0" w:afterAutospacing="0" w:line="320" w:lineRule="exact"/>
              <w:jc w:val="both"/>
              <w:textAlignment w:val="auto"/>
              <w:rPr>
                <w:rFonts w:hint="default" w:ascii="Times New Roman" w:hAnsi="Times New Roman" w:eastAsia="宋体" w:cs="Times New Roman"/>
                <w:sz w:val="18"/>
                <w:szCs w:val="18"/>
              </w:rPr>
            </w:pPr>
            <w:r>
              <w:rPr>
                <w:rFonts w:hint="default" w:ascii="Times New Roman" w:hAnsi="Times New Roman" w:eastAsia="宋体" w:cs="Times New Roman"/>
                <w:color w:val="000000"/>
                <w:sz w:val="18"/>
                <w:szCs w:val="18"/>
              </w:rPr>
              <w:t>在任何领域或工作单位均无明显的弱项或差距。</w:t>
            </w:r>
          </w:p>
        </w:tc>
        <w:tc>
          <w:tcPr>
            <w:tcW w:w="2469" w:type="dxa"/>
            <w:tcBorders>
              <w:tl2br w:val="nil"/>
              <w:tr2bl w:val="nil"/>
            </w:tcBorders>
            <w:tcMar>
              <w:left w:w="108" w:type="dxa"/>
              <w:right w:w="108" w:type="dxa"/>
            </w:tcMar>
            <w:vAlign w:val="top"/>
          </w:tcPr>
          <w:p>
            <w:pPr>
              <w:pStyle w:val="7"/>
              <w:widowControl/>
              <w:wordWrap/>
              <w:adjustRightInd/>
              <w:snapToGrid/>
              <w:spacing w:before="0" w:beforeAutospacing="0" w:after="0" w:afterAutospacing="0" w:line="320" w:lineRule="exact"/>
              <w:jc w:val="both"/>
              <w:textAlignment w:val="auto"/>
              <w:rPr>
                <w:rFonts w:hint="default" w:ascii="Times New Roman" w:hAnsi="Times New Roman" w:eastAsia="宋体" w:cs="Times New Roman"/>
                <w:sz w:val="18"/>
                <w:szCs w:val="18"/>
              </w:rPr>
            </w:pPr>
            <w:r>
              <w:rPr>
                <w:rFonts w:hint="default" w:ascii="Times New Roman" w:hAnsi="Times New Roman" w:eastAsia="宋体" w:cs="Times New Roman"/>
                <w:color w:val="000000"/>
                <w:sz w:val="18"/>
                <w:szCs w:val="18"/>
              </w:rPr>
              <w:t>基于事实的系统评价、改进、改善和创新，在整个组织中成为关键的管理工具。</w:t>
            </w:r>
          </w:p>
        </w:tc>
        <w:tc>
          <w:tcPr>
            <w:tcW w:w="1885" w:type="dxa"/>
            <w:tcBorders>
              <w:tl2br w:val="nil"/>
              <w:tr2bl w:val="nil"/>
            </w:tcBorders>
            <w:tcMar>
              <w:left w:w="108" w:type="dxa"/>
              <w:right w:w="108" w:type="dxa"/>
            </w:tcMar>
            <w:vAlign w:val="top"/>
          </w:tcPr>
          <w:p>
            <w:pPr>
              <w:pStyle w:val="7"/>
              <w:widowControl/>
              <w:wordWrap/>
              <w:adjustRightInd/>
              <w:snapToGrid/>
              <w:spacing w:before="0" w:beforeAutospacing="0" w:after="0" w:afterAutospacing="0" w:line="320" w:lineRule="exact"/>
              <w:jc w:val="both"/>
              <w:textAlignment w:val="auto"/>
              <w:rPr>
                <w:rFonts w:hint="default" w:ascii="Times New Roman" w:hAnsi="Times New Roman" w:eastAsia="宋体" w:cs="Times New Roman"/>
                <w:sz w:val="18"/>
                <w:szCs w:val="18"/>
              </w:rPr>
            </w:pPr>
            <w:r>
              <w:rPr>
                <w:rFonts w:hint="default" w:ascii="Times New Roman" w:hAnsi="Times New Roman" w:eastAsia="宋体" w:cs="Times New Roman"/>
                <w:color w:val="000000"/>
                <w:sz w:val="18"/>
                <w:szCs w:val="18"/>
              </w:rPr>
              <w:t>针对</w:t>
            </w:r>
            <w:r>
              <w:rPr>
                <w:rFonts w:hint="default" w:ascii="Times New Roman" w:hAnsi="Times New Roman" w:eastAsia="宋体" w:cs="Times New Roman"/>
                <w:b/>
                <w:bCs/>
                <w:color w:val="000000"/>
                <w:sz w:val="18"/>
                <w:szCs w:val="18"/>
                <w:lang w:val="en-US" w:eastAsia="zh-CN"/>
              </w:rPr>
              <w:t>评价要点</w:t>
            </w:r>
            <w:r>
              <w:rPr>
                <w:rFonts w:hint="default" w:ascii="Times New Roman" w:hAnsi="Times New Roman" w:eastAsia="宋体" w:cs="Times New Roman"/>
                <w:color w:val="000000"/>
                <w:sz w:val="18"/>
                <w:szCs w:val="18"/>
              </w:rPr>
              <w:t>报告了卓越的组织</w:t>
            </w:r>
            <w:r>
              <w:rPr>
                <w:rFonts w:hint="default" w:ascii="Times New Roman" w:hAnsi="Times New Roman" w:eastAsia="宋体" w:cs="Times New Roman"/>
                <w:color w:val="000000"/>
                <w:sz w:val="18"/>
                <w:szCs w:val="18"/>
                <w:lang w:val="en-US" w:eastAsia="zh-CN"/>
              </w:rPr>
              <w:t>效益状态</w:t>
            </w:r>
            <w:r>
              <w:rPr>
                <w:rFonts w:hint="default" w:ascii="Times New Roman" w:hAnsi="Times New Roman" w:eastAsia="宋体" w:cs="Times New Roman"/>
                <w:color w:val="000000"/>
                <w:sz w:val="18"/>
                <w:szCs w:val="18"/>
              </w:rPr>
              <w:t>。</w:t>
            </w:r>
          </w:p>
        </w:tc>
        <w:tc>
          <w:tcPr>
            <w:tcW w:w="2313" w:type="dxa"/>
            <w:tcBorders>
              <w:tl2br w:val="nil"/>
              <w:tr2bl w:val="nil"/>
            </w:tcBorders>
            <w:tcMar>
              <w:left w:w="108" w:type="dxa"/>
              <w:right w:w="108" w:type="dxa"/>
            </w:tcMar>
            <w:vAlign w:val="top"/>
          </w:tcPr>
          <w:p>
            <w:pPr>
              <w:pStyle w:val="7"/>
              <w:widowControl/>
              <w:wordWrap/>
              <w:adjustRightInd/>
              <w:snapToGrid/>
              <w:spacing w:before="0" w:beforeAutospacing="0" w:after="0" w:afterAutospacing="0" w:line="320" w:lineRule="exact"/>
              <w:jc w:val="both"/>
              <w:textAlignment w:val="auto"/>
              <w:rPr>
                <w:rFonts w:hint="default" w:ascii="Times New Roman" w:hAnsi="Times New Roman" w:eastAsia="宋体" w:cs="Times New Roman"/>
                <w:sz w:val="18"/>
                <w:szCs w:val="18"/>
              </w:rPr>
            </w:pPr>
            <w:r>
              <w:rPr>
                <w:rFonts w:hint="default" w:ascii="Times New Roman" w:hAnsi="Times New Roman" w:eastAsia="宋体" w:cs="Times New Roman"/>
                <w:color w:val="000000"/>
                <w:sz w:val="18"/>
                <w:szCs w:val="18"/>
              </w:rPr>
              <w:t>在许多领域被证实处于行业领先和标杆地位。</w:t>
            </w:r>
          </w:p>
        </w:tc>
        <w:tc>
          <w:tcPr>
            <w:tcW w:w="2317" w:type="dxa"/>
            <w:tcBorders>
              <w:tl2br w:val="nil"/>
              <w:tr2bl w:val="nil"/>
            </w:tcBorders>
            <w:tcMar>
              <w:left w:w="108" w:type="dxa"/>
              <w:right w:w="108" w:type="dxa"/>
            </w:tcMar>
            <w:vAlign w:val="top"/>
          </w:tcPr>
          <w:p>
            <w:pPr>
              <w:pStyle w:val="7"/>
              <w:widowControl/>
              <w:wordWrap/>
              <w:adjustRightInd/>
              <w:snapToGrid/>
              <w:spacing w:before="0" w:beforeAutospacing="0" w:after="0" w:afterAutospacing="0" w:line="320" w:lineRule="exact"/>
              <w:jc w:val="both"/>
              <w:textAlignment w:val="auto"/>
              <w:rPr>
                <w:rFonts w:hint="default" w:ascii="Times New Roman" w:hAnsi="Times New Roman" w:eastAsia="宋体" w:cs="Times New Roman"/>
                <w:sz w:val="18"/>
                <w:szCs w:val="18"/>
              </w:rPr>
            </w:pPr>
            <w:r>
              <w:rPr>
                <w:rFonts w:hint="default" w:ascii="Times New Roman" w:hAnsi="Times New Roman" w:eastAsia="宋体" w:cs="Times New Roman"/>
                <w:color w:val="000000"/>
                <w:sz w:val="18"/>
                <w:szCs w:val="18"/>
              </w:rPr>
              <w:t>到目前为止，在对达成组织的使命</w:t>
            </w:r>
            <w:r>
              <w:rPr>
                <w:rFonts w:hint="default" w:ascii="Times New Roman" w:hAnsi="Times New Roman" w:eastAsia="宋体" w:cs="Times New Roman"/>
                <w:color w:val="000000"/>
                <w:sz w:val="18"/>
                <w:szCs w:val="18"/>
                <w:lang w:val="en-US" w:eastAsia="zh-CN"/>
              </w:rPr>
              <w:t>和战略</w:t>
            </w:r>
            <w:r>
              <w:rPr>
                <w:rFonts w:hint="default" w:ascii="Times New Roman" w:hAnsi="Times New Roman" w:eastAsia="宋体" w:cs="Times New Roman"/>
                <w:color w:val="000000"/>
                <w:sz w:val="18"/>
                <w:szCs w:val="18"/>
              </w:rPr>
              <w:t>重要的所有领域，保持了有利的趋势。</w:t>
            </w:r>
          </w:p>
        </w:tc>
      </w:tr>
    </w:tbl>
    <w:p>
      <w:pPr>
        <w:widowControl w:val="0"/>
        <w:wordWrap/>
        <w:adjustRightInd/>
        <w:snapToGrid/>
        <w:spacing w:beforeAutospacing="0" w:afterAutospacing="0" w:line="20" w:lineRule="exact"/>
        <w:textAlignment w:val="auto"/>
        <w:rPr>
          <w:rFonts w:ascii="Times New Roman" w:hAnsi="Times New Roman"/>
        </w:rPr>
      </w:pPr>
    </w:p>
    <w:p>
      <w:pPr>
        <w:widowControl w:val="0"/>
        <w:wordWrap/>
        <w:adjustRightInd/>
        <w:snapToGrid/>
        <w:spacing w:line="20" w:lineRule="exact"/>
        <w:textAlignment w:val="auto"/>
        <w:rPr>
          <w:rFonts w:hint="eastAsia" w:ascii="Times New Roman" w:hAnsi="Times New Roman"/>
        </w:rPr>
        <w:sectPr>
          <w:footerReference r:id="rId8" w:type="default"/>
          <w:type w:val="continuous"/>
          <w:pgSz w:w="16838" w:h="11906" w:orient="landscape"/>
          <w:pgMar w:top="1304" w:right="1134" w:bottom="1247" w:left="1134" w:header="851" w:footer="1020" w:gutter="0"/>
          <w:pgBorders>
            <w:top w:val="none" w:sz="0" w:space="0"/>
            <w:left w:val="none" w:sz="0" w:space="0"/>
            <w:bottom w:val="none" w:sz="0" w:space="0"/>
            <w:right w:val="none" w:sz="0" w:space="0"/>
          </w:pgBorders>
          <w:pgNumType w:fmt="decimal"/>
          <w:cols w:space="720" w:num="1"/>
          <w:rtlGutter w:val="0"/>
          <w:docGrid w:type="linesAndChars" w:linePitch="604" w:charSpace="-842"/>
        </w:sectPr>
      </w:pPr>
    </w:p>
    <w:p>
      <w:pPr>
        <w:rPr>
          <w:rFonts w:hint="default"/>
          <w:lang w:val="en-US" w:eastAsia="zh-CN"/>
        </w:rPr>
      </w:pPr>
    </w:p>
    <w:p>
      <w:pPr>
        <w:pStyle w:val="2"/>
        <w:rPr>
          <w:rFonts w:hint="eastAsia"/>
        </w:rPr>
      </w:pPr>
    </w:p>
    <w:p>
      <w:pPr>
        <w:widowControl w:val="0"/>
        <w:wordWrap/>
        <w:adjustRightInd/>
        <w:snapToGrid/>
        <w:spacing w:line="640" w:lineRule="exact"/>
        <w:jc w:val="both"/>
        <w:textAlignment w:val="auto"/>
        <w:rPr>
          <w:rFonts w:hint="eastAsia" w:ascii="Times New Roman" w:hAnsi="Times New Roman" w:eastAsia="方正小标宋简体" w:cs="方正小标宋简体"/>
          <w:b w:val="0"/>
          <w:bCs w:val="0"/>
          <w:sz w:val="44"/>
          <w:szCs w:val="44"/>
        </w:rPr>
        <w:sectPr>
          <w:type w:val="continuous"/>
          <w:pgSz w:w="16838" w:h="11906" w:orient="landscape"/>
          <w:pgMar w:top="1587" w:right="1246" w:bottom="1417" w:left="1663" w:header="851" w:footer="1253" w:gutter="0"/>
          <w:pgNumType w:fmt="decimal"/>
          <w:cols w:space="720" w:num="1"/>
          <w:docGrid w:type="lines" w:linePitch="445" w:charSpace="0"/>
        </w:sectPr>
      </w:pPr>
    </w:p>
    <w:p/>
    <w:sectPr>
      <w:type w:val="continuous"/>
      <w:pgSz w:w="16838" w:h="11906" w:orient="landscape"/>
      <w:pgMar w:top="1587" w:right="1247" w:bottom="1417" w:left="1661" w:header="851" w:footer="1253" w:gutter="0"/>
      <w:pgNumType w:fmt="decimal"/>
      <w:cols w:space="720" w:num="1"/>
      <w:docGrid w:type="lines" w:linePitch="44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after="120"/>
      <w:jc w:val="right"/>
      <w:rPr>
        <w:rFonts w:hint="eastAsia"/>
        <w:lang w:eastAsia="zh-CN"/>
      </w:rPr>
    </w:pPr>
    <w:r>
      <w:rPr>
        <w:rFonts w:hint="eastAsia" w:ascii="Calibri" w:hAnsi="Calibri" w:eastAsia="仿宋_GB2312" w:cs="黑体"/>
        <w:kern w:val="2"/>
        <w:sz w:val="18"/>
        <w:szCs w:val="18"/>
        <w:lang w:val="en-US" w:eastAsia="zh-CN" w:bidi="ar-SA"/>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-53340</wp:posOffset>
              </wp:positionV>
              <wp:extent cx="1075690" cy="190500"/>
              <wp:effectExtent l="0" t="0" r="0" b="0"/>
              <wp:wrapNone/>
              <wp:docPr id="2" name="文本框 11"/>
              <wp:cNvGraphicFramePr/>
              <a:graphic xmlns:a="http://schemas.openxmlformats.org/drawingml/2006/main">
                <a:graphicData uri="http://schemas.microsoft.com/office/word/2010/wordprocessingShape">
                  <wps:wsp>
                    <wps:cNvSpPr/>
                    <wps:spPr>
                      <a:xfrm>
                        <a:off x="0" y="0"/>
                        <a:ext cx="1075690" cy="190500"/>
                      </a:xfrm>
                      <a:prstGeom prst="rect">
                        <a:avLst/>
                      </a:prstGeom>
                      <a:noFill/>
                      <a:ln>
                        <a:noFill/>
                      </a:ln>
                    </wps:spPr>
                    <wps:txbx>
                      <w:txbxContent>
                        <w:p>
                          <w:pPr>
                            <w:pStyle w:val="4"/>
                            <w:spacing w:line="300" w:lineRule="exact"/>
                            <w:ind w:right="374" w:rightChars="117" w:firstLine="338" w:firstLineChars="121"/>
                            <w:jc w:val="center"/>
                            <w:rPr>
                              <w:rFonts w:hint="eastAsia" w:eastAsia="仿宋_GB2312"/>
                              <w:lang w:eastAsia="zh-CN"/>
                            </w:rPr>
                          </w:pPr>
                          <w:r>
                            <w:rPr>
                              <w:rFonts w:hint="eastAsia" w:ascii="宋体" w:hAnsi="宋体" w:cs="宋体"/>
                              <w:sz w:val="28"/>
                              <w:szCs w:val="28"/>
                              <w:lang w:eastAsia="zh-CN"/>
                            </w:rPr>
                            <w:t>—</w:t>
                          </w:r>
                          <w:r>
                            <w:rPr>
                              <w:rFonts w:hint="eastAsia" w:ascii="宋体" w:hAnsi="宋体" w:cs="宋体"/>
                              <w:sz w:val="28"/>
                              <w:szCs w:val="28"/>
                              <w:lang w:val="en-US" w:eastAsia="zh-CN"/>
                            </w:rPr>
                            <w:t xml:space="preserve"> </w:t>
                          </w:r>
                          <w:r>
                            <w:rPr>
                              <w:rFonts w:hint="eastAsia" w:ascii="宋体" w:hAnsi="宋体" w:cs="宋体"/>
                              <w:sz w:val="28"/>
                              <w:szCs w:val="28"/>
                            </w:rPr>
                            <w:fldChar w:fldCharType="begin"/>
                          </w:r>
                          <w:r>
                            <w:rPr>
                              <w:rStyle w:val="11"/>
                              <w:rFonts w:hint="eastAsia" w:ascii="宋体" w:hAnsi="宋体" w:cs="宋体"/>
                              <w:sz w:val="28"/>
                              <w:szCs w:val="28"/>
                            </w:rPr>
                            <w:instrText xml:space="preserve">PAGE  </w:instrText>
                          </w:r>
                          <w:r>
                            <w:rPr>
                              <w:rFonts w:hint="eastAsia" w:ascii="宋体" w:hAnsi="宋体" w:cs="宋体"/>
                              <w:sz w:val="28"/>
                              <w:szCs w:val="28"/>
                            </w:rPr>
                            <w:fldChar w:fldCharType="separate"/>
                          </w:r>
                          <w:r>
                            <w:rPr>
                              <w:rStyle w:val="11"/>
                              <w:rFonts w:ascii="宋体" w:hAnsi="宋体" w:cs="宋体"/>
                              <w:sz w:val="28"/>
                              <w:szCs w:val="28"/>
                            </w:rPr>
                            <w:t>3</w:t>
                          </w:r>
                          <w:r>
                            <w:rPr>
                              <w:rFonts w:hint="eastAsia" w:ascii="宋体" w:hAnsi="宋体" w:cs="宋体"/>
                              <w:sz w:val="28"/>
                              <w:szCs w:val="28"/>
                            </w:rPr>
                            <w:fldChar w:fldCharType="end"/>
                          </w:r>
                          <w:r>
                            <w:rPr>
                              <w:rFonts w:hint="eastAsia" w:ascii="宋体" w:hAnsi="宋体" w:cs="宋体"/>
                              <w:sz w:val="28"/>
                              <w:szCs w:val="28"/>
                              <w:lang w:val="en-US" w:eastAsia="zh-CN"/>
                            </w:rPr>
                            <w:t xml:space="preserve"> </w:t>
                          </w:r>
                          <w:r>
                            <w:rPr>
                              <w:rFonts w:hint="eastAsia" w:ascii="宋体" w:hAnsi="宋体" w:cs="宋体"/>
                              <w:sz w:val="28"/>
                              <w:szCs w:val="28"/>
                              <w:lang w:eastAsia="zh-CN"/>
                            </w:rPr>
                            <w:t>—</w:t>
                          </w:r>
                        </w:p>
                      </w:txbxContent>
                    </wps:txbx>
                    <wps:bodyPr wrap="none" lIns="0" tIns="0" rIns="0" bIns="0" upright="1">
                      <a:spAutoFit/>
                    </wps:bodyPr>
                  </wps:wsp>
                </a:graphicData>
              </a:graphic>
            </wp:anchor>
          </w:drawing>
        </mc:Choice>
        <mc:Fallback>
          <w:pict>
            <v:rect id="文本框 11" o:spid="_x0000_s1026" o:spt="1" style="position:absolute;left:0pt;margin-top:-4.2pt;height:15pt;width:84.7pt;mso-position-horizontal:outside;mso-position-horizontal-relative:margin;mso-wrap-style:none;z-index:251660288;mso-width-relative:page;mso-height-relative:page;" filled="f" stroked="f" coordsize="21600,21600" o:gfxdata="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USFe1NQAAAAGAQAADwAAAAAAAAABACAAAAAiAAAAZHJzL2Rvd25y&#10;ZXYueG1sUEsBAhQAFAAAAAgAh07iQMAZixXJAQAAjwMAAA4AAAAAAAAAAQAgAAAAIwEAAGRycy9l&#10;Mm9Eb2MueG1sUEsFBgAAAAAGAAYAWQEAAF4FAAAAAA==&#10;">
              <v:fill on="f" focussize="0,0"/>
              <v:stroke on="f"/>
              <v:imagedata o:title=""/>
              <o:lock v:ext="edit" aspectratio="f"/>
              <v:textbox inset="0mm,0mm,0mm,0mm" style="mso-fit-shape-to-text:t;">
                <w:txbxContent>
                  <w:p>
                    <w:pPr>
                      <w:pStyle w:val="4"/>
                      <w:spacing w:line="300" w:lineRule="exact"/>
                      <w:ind w:right="374" w:rightChars="117" w:firstLine="338" w:firstLineChars="121"/>
                      <w:jc w:val="center"/>
                      <w:rPr>
                        <w:rFonts w:hint="eastAsia" w:eastAsia="仿宋_GB2312"/>
                        <w:lang w:eastAsia="zh-CN"/>
                      </w:rPr>
                    </w:pPr>
                    <w:r>
                      <w:rPr>
                        <w:rFonts w:hint="eastAsia" w:ascii="宋体" w:hAnsi="宋体" w:cs="宋体"/>
                        <w:sz w:val="28"/>
                        <w:szCs w:val="28"/>
                        <w:lang w:eastAsia="zh-CN"/>
                      </w:rPr>
                      <w:t>—</w:t>
                    </w:r>
                    <w:r>
                      <w:rPr>
                        <w:rFonts w:hint="eastAsia" w:ascii="宋体" w:hAnsi="宋体" w:cs="宋体"/>
                        <w:sz w:val="28"/>
                        <w:szCs w:val="28"/>
                        <w:lang w:val="en-US" w:eastAsia="zh-CN"/>
                      </w:rPr>
                      <w:t xml:space="preserve"> </w:t>
                    </w:r>
                    <w:r>
                      <w:rPr>
                        <w:rFonts w:hint="eastAsia" w:ascii="宋体" w:hAnsi="宋体" w:cs="宋体"/>
                        <w:sz w:val="28"/>
                        <w:szCs w:val="28"/>
                      </w:rPr>
                      <w:fldChar w:fldCharType="begin"/>
                    </w:r>
                    <w:r>
                      <w:rPr>
                        <w:rStyle w:val="11"/>
                        <w:rFonts w:hint="eastAsia" w:ascii="宋体" w:hAnsi="宋体" w:cs="宋体"/>
                        <w:sz w:val="28"/>
                        <w:szCs w:val="28"/>
                      </w:rPr>
                      <w:instrText xml:space="preserve">PAGE  </w:instrText>
                    </w:r>
                    <w:r>
                      <w:rPr>
                        <w:rFonts w:hint="eastAsia" w:ascii="宋体" w:hAnsi="宋体" w:cs="宋体"/>
                        <w:sz w:val="28"/>
                        <w:szCs w:val="28"/>
                      </w:rPr>
                      <w:fldChar w:fldCharType="separate"/>
                    </w:r>
                    <w:r>
                      <w:rPr>
                        <w:rStyle w:val="11"/>
                        <w:rFonts w:ascii="宋体" w:hAnsi="宋体" w:cs="宋体"/>
                        <w:sz w:val="28"/>
                        <w:szCs w:val="28"/>
                      </w:rPr>
                      <w:t>3</w:t>
                    </w:r>
                    <w:r>
                      <w:rPr>
                        <w:rFonts w:hint="eastAsia" w:ascii="宋体" w:hAnsi="宋体" w:cs="宋体"/>
                        <w:sz w:val="28"/>
                        <w:szCs w:val="28"/>
                      </w:rPr>
                      <w:fldChar w:fldCharType="end"/>
                    </w:r>
                    <w:r>
                      <w:rPr>
                        <w:rFonts w:hint="eastAsia" w:ascii="宋体" w:hAnsi="宋体" w:cs="宋体"/>
                        <w:sz w:val="28"/>
                        <w:szCs w:val="28"/>
                        <w:lang w:val="en-US" w:eastAsia="zh-CN"/>
                      </w:rPr>
                      <w:t xml:space="preserve"> </w:t>
                    </w:r>
                    <w:r>
                      <w:rPr>
                        <w:rFonts w:hint="eastAsia" w:ascii="宋体" w:hAnsi="宋体" w:cs="宋体"/>
                        <w:sz w:val="28"/>
                        <w:szCs w:val="28"/>
                        <w:lang w:eastAsia="zh-CN"/>
                      </w:rPr>
                      <w:t>—</w:t>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lang w:eastAsia="zh-CN"/>
      </w:rPr>
    </w:pPr>
    <w:r>
      <w:rPr>
        <w:rFonts w:hint="eastAsia" w:ascii="Calibri" w:hAnsi="Calibri" w:eastAsia="仿宋_GB2312" w:cs="黑体"/>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-91440</wp:posOffset>
              </wp:positionV>
              <wp:extent cx="1075690" cy="190500"/>
              <wp:effectExtent l="0" t="0" r="0" b="0"/>
              <wp:wrapNone/>
              <wp:docPr id="1" name="文本框 8"/>
              <wp:cNvGraphicFramePr/>
              <a:graphic xmlns:a="http://schemas.openxmlformats.org/drawingml/2006/main">
                <a:graphicData uri="http://schemas.microsoft.com/office/word/2010/wordprocessingShape">
                  <wps:wsp>
                    <wps:cNvSpPr/>
                    <wps:spPr>
                      <a:xfrm>
                        <a:off x="0" y="0"/>
                        <a:ext cx="1075690" cy="190500"/>
                      </a:xfrm>
                      <a:prstGeom prst="rect">
                        <a:avLst/>
                      </a:prstGeom>
                      <a:noFill/>
                      <a:ln>
                        <a:noFill/>
                      </a:ln>
                    </wps:spPr>
                    <wps:txbx>
                      <w:txbxContent>
                        <w:p>
                          <w:pPr>
                            <w:pStyle w:val="4"/>
                            <w:spacing w:line="300" w:lineRule="exact"/>
                            <w:ind w:right="374" w:rightChars="117" w:firstLine="338" w:firstLineChars="121"/>
                            <w:jc w:val="center"/>
                            <w:rPr>
                              <w:rFonts w:hint="eastAsia" w:eastAsia="仿宋_GB2312"/>
                              <w:lang w:eastAsia="zh-CN"/>
                            </w:rPr>
                          </w:pPr>
                          <w:r>
                            <w:rPr>
                              <w:rFonts w:hint="eastAsia" w:ascii="宋体" w:hAnsi="宋体" w:cs="宋体"/>
                              <w:sz w:val="28"/>
                              <w:szCs w:val="28"/>
                              <w:lang w:eastAsia="zh-CN"/>
                            </w:rPr>
                            <w:t>—</w:t>
                          </w:r>
                          <w:r>
                            <w:rPr>
                              <w:rFonts w:hint="eastAsia" w:ascii="宋体" w:hAnsi="宋体" w:cs="宋体"/>
                              <w:sz w:val="28"/>
                              <w:szCs w:val="28"/>
                              <w:lang w:val="en-US" w:eastAsia="zh-CN"/>
                            </w:rPr>
                            <w:t xml:space="preserve"> </w:t>
                          </w:r>
                          <w:r>
                            <w:rPr>
                              <w:rFonts w:hint="eastAsia" w:ascii="宋体" w:hAnsi="宋体" w:cs="宋体"/>
                              <w:sz w:val="28"/>
                              <w:szCs w:val="28"/>
                            </w:rPr>
                            <w:fldChar w:fldCharType="begin"/>
                          </w:r>
                          <w:r>
                            <w:rPr>
                              <w:rStyle w:val="11"/>
                              <w:rFonts w:hint="eastAsia" w:ascii="宋体" w:hAnsi="宋体" w:cs="宋体"/>
                              <w:sz w:val="28"/>
                              <w:szCs w:val="28"/>
                            </w:rPr>
                            <w:instrText xml:space="preserve">PAGE  </w:instrText>
                          </w:r>
                          <w:r>
                            <w:rPr>
                              <w:rFonts w:hint="eastAsia" w:ascii="宋体" w:hAnsi="宋体" w:cs="宋体"/>
                              <w:sz w:val="28"/>
                              <w:szCs w:val="28"/>
                            </w:rPr>
                            <w:fldChar w:fldCharType="separate"/>
                          </w:r>
                          <w:r>
                            <w:rPr>
                              <w:rStyle w:val="11"/>
                              <w:rFonts w:ascii="宋体" w:hAnsi="宋体" w:cs="宋体"/>
                              <w:sz w:val="28"/>
                              <w:szCs w:val="28"/>
                            </w:rPr>
                            <w:t>2</w:t>
                          </w:r>
                          <w:r>
                            <w:rPr>
                              <w:rFonts w:hint="eastAsia" w:ascii="宋体" w:hAnsi="宋体" w:cs="宋体"/>
                              <w:sz w:val="28"/>
                              <w:szCs w:val="28"/>
                            </w:rPr>
                            <w:fldChar w:fldCharType="end"/>
                          </w:r>
                          <w:r>
                            <w:rPr>
                              <w:rFonts w:hint="eastAsia" w:ascii="宋体" w:hAnsi="宋体" w:cs="宋体"/>
                              <w:sz w:val="28"/>
                              <w:szCs w:val="28"/>
                              <w:lang w:val="en-US" w:eastAsia="zh-CN"/>
                            </w:rPr>
                            <w:t xml:space="preserve"> </w:t>
                          </w:r>
                          <w:r>
                            <w:rPr>
                              <w:rFonts w:hint="eastAsia" w:ascii="宋体" w:hAnsi="宋体" w:cs="宋体"/>
                              <w:sz w:val="28"/>
                              <w:szCs w:val="28"/>
                              <w:lang w:eastAsia="zh-CN"/>
                            </w:rPr>
                            <w:t>—</w:t>
                          </w:r>
                        </w:p>
                      </w:txbxContent>
                    </wps:txbx>
                    <wps:bodyPr wrap="none" lIns="0" tIns="0" rIns="0" bIns="0" upright="1">
                      <a:spAutoFit/>
                    </wps:bodyPr>
                  </wps:wsp>
                </a:graphicData>
              </a:graphic>
            </wp:anchor>
          </w:drawing>
        </mc:Choice>
        <mc:Fallback>
          <w:pict>
            <v:rect id="文本框 8" o:spid="_x0000_s1026" o:spt="1" style="position:absolute;left:0pt;margin-top:-7.2pt;height:15pt;width:84.7pt;mso-position-horizontal:outside;mso-position-horizontal-relative:margin;mso-wrap-style:none;z-index:251659264;mso-width-relative:page;mso-height-relative:page;" filled="f" stroked="f" coordsize="21600,21600" o:gfxdata="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BkfftH1AAAAAcBAAAPAAAAAAAAAAEAIAAAACIAAABkcnMvZG93bnJl&#10;di54bWxQSwECFAAUAAAACACHTuJA3gybGsgBAACOAwAADgAAAAAAAAABACAAAAAjAQAAZHJzL2Uy&#10;b0RvYy54bWxQSwUGAAAAAAYABgBZAQAAXQUAAAAA&#10;">
              <v:fill on="f" focussize="0,0"/>
              <v:stroke on="f"/>
              <v:imagedata o:title=""/>
              <o:lock v:ext="edit" aspectratio="f"/>
              <v:textbox inset="0mm,0mm,0mm,0mm" style="mso-fit-shape-to-text:t;">
                <w:txbxContent>
                  <w:p>
                    <w:pPr>
                      <w:pStyle w:val="4"/>
                      <w:spacing w:line="300" w:lineRule="exact"/>
                      <w:ind w:right="374" w:rightChars="117" w:firstLine="338" w:firstLineChars="121"/>
                      <w:jc w:val="center"/>
                      <w:rPr>
                        <w:rFonts w:hint="eastAsia" w:eastAsia="仿宋_GB2312"/>
                        <w:lang w:eastAsia="zh-CN"/>
                      </w:rPr>
                    </w:pPr>
                    <w:r>
                      <w:rPr>
                        <w:rFonts w:hint="eastAsia" w:ascii="宋体" w:hAnsi="宋体" w:cs="宋体"/>
                        <w:sz w:val="28"/>
                        <w:szCs w:val="28"/>
                        <w:lang w:eastAsia="zh-CN"/>
                      </w:rPr>
                      <w:t>—</w:t>
                    </w:r>
                    <w:r>
                      <w:rPr>
                        <w:rFonts w:hint="eastAsia" w:ascii="宋体" w:hAnsi="宋体" w:cs="宋体"/>
                        <w:sz w:val="28"/>
                        <w:szCs w:val="28"/>
                        <w:lang w:val="en-US" w:eastAsia="zh-CN"/>
                      </w:rPr>
                      <w:t xml:space="preserve"> </w:t>
                    </w:r>
                    <w:r>
                      <w:rPr>
                        <w:rFonts w:hint="eastAsia" w:ascii="宋体" w:hAnsi="宋体" w:cs="宋体"/>
                        <w:sz w:val="28"/>
                        <w:szCs w:val="28"/>
                      </w:rPr>
                      <w:fldChar w:fldCharType="begin"/>
                    </w:r>
                    <w:r>
                      <w:rPr>
                        <w:rStyle w:val="11"/>
                        <w:rFonts w:hint="eastAsia" w:ascii="宋体" w:hAnsi="宋体" w:cs="宋体"/>
                        <w:sz w:val="28"/>
                        <w:szCs w:val="28"/>
                      </w:rPr>
                      <w:instrText xml:space="preserve">PAGE  </w:instrText>
                    </w:r>
                    <w:r>
                      <w:rPr>
                        <w:rFonts w:hint="eastAsia" w:ascii="宋体" w:hAnsi="宋体" w:cs="宋体"/>
                        <w:sz w:val="28"/>
                        <w:szCs w:val="28"/>
                      </w:rPr>
                      <w:fldChar w:fldCharType="separate"/>
                    </w:r>
                    <w:r>
                      <w:rPr>
                        <w:rStyle w:val="11"/>
                        <w:rFonts w:ascii="宋体" w:hAnsi="宋体" w:cs="宋体"/>
                        <w:sz w:val="28"/>
                        <w:szCs w:val="28"/>
                      </w:rPr>
                      <w:t>2</w:t>
                    </w:r>
                    <w:r>
                      <w:rPr>
                        <w:rFonts w:hint="eastAsia" w:ascii="宋体" w:hAnsi="宋体" w:cs="宋体"/>
                        <w:sz w:val="28"/>
                        <w:szCs w:val="28"/>
                      </w:rPr>
                      <w:fldChar w:fldCharType="end"/>
                    </w:r>
                    <w:r>
                      <w:rPr>
                        <w:rFonts w:hint="eastAsia" w:ascii="宋体" w:hAnsi="宋体" w:cs="宋体"/>
                        <w:sz w:val="28"/>
                        <w:szCs w:val="28"/>
                        <w:lang w:val="en-US" w:eastAsia="zh-CN"/>
                      </w:rPr>
                      <w:t xml:space="preserve"> </w:t>
                    </w:r>
                    <w:r>
                      <w:rPr>
                        <w:rFonts w:hint="eastAsia" w:ascii="宋体" w:hAnsi="宋体" w:cs="宋体"/>
                        <w:sz w:val="28"/>
                        <w:szCs w:val="28"/>
                        <w:lang w:eastAsia="zh-CN"/>
                      </w:rPr>
                      <w:t>—</w:t>
                    </w:r>
                  </w:p>
                </w:txbxContent>
              </v:textbox>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after="120"/>
      <w:jc w:val="right"/>
      <w:rPr>
        <w:rFonts w:hint="eastAsia"/>
      </w:rPr>
    </w:pPr>
    <w:r>
      <w:rPr>
        <w:rFonts w:hint="eastAsia" w:ascii="宋体" w:hAnsi="宋体" w:eastAsia="宋体" w:cs="宋体"/>
        <w:spacing w:val="0"/>
        <w:sz w:val="28"/>
        <w:szCs w:val="28"/>
        <w:lang w:eastAsia="zh-CN"/>
      </w:rPr>
      <w:t>—</w:t>
    </w:r>
    <w:r>
      <w:rPr>
        <w:rFonts w:hint="eastAsia" w:ascii="宋体" w:hAnsi="宋体" w:eastAsia="宋体" w:cs="宋体"/>
        <w:spacing w:val="0"/>
        <w:sz w:val="28"/>
        <w:szCs w:val="28"/>
        <w:lang w:val="en-US" w:eastAsia="zh-CN"/>
      </w:rPr>
      <w:t xml:space="preserve"> </w:t>
    </w:r>
    <w:r>
      <w:rPr>
        <w:rFonts w:hint="eastAsia" w:ascii="宋体" w:hAnsi="宋体" w:eastAsia="宋体" w:cs="宋体"/>
        <w:spacing w:val="0"/>
        <w:sz w:val="28"/>
        <w:szCs w:val="28"/>
      </w:rPr>
      <w:fldChar w:fldCharType="begin"/>
    </w:r>
    <w:r>
      <w:rPr>
        <w:rStyle w:val="11"/>
        <w:rFonts w:hint="eastAsia" w:ascii="宋体" w:hAnsi="宋体" w:eastAsia="宋体" w:cs="宋体"/>
        <w:spacing w:val="0"/>
        <w:sz w:val="28"/>
        <w:szCs w:val="28"/>
      </w:rPr>
      <w:instrText xml:space="preserve">PAGE  </w:instrText>
    </w:r>
    <w:r>
      <w:rPr>
        <w:rFonts w:hint="eastAsia" w:ascii="宋体" w:hAnsi="宋体" w:eastAsia="宋体" w:cs="宋体"/>
        <w:spacing w:val="0"/>
        <w:sz w:val="28"/>
        <w:szCs w:val="28"/>
      </w:rPr>
      <w:fldChar w:fldCharType="separate"/>
    </w:r>
    <w:r>
      <w:rPr>
        <w:rStyle w:val="11"/>
        <w:rFonts w:hint="eastAsia" w:ascii="宋体" w:hAnsi="宋体" w:eastAsia="宋体" w:cs="宋体"/>
        <w:spacing w:val="0"/>
        <w:sz w:val="28"/>
        <w:szCs w:val="28"/>
      </w:rPr>
      <w:t>1</w:t>
    </w:r>
    <w:r>
      <w:rPr>
        <w:rFonts w:hint="eastAsia" w:ascii="宋体" w:hAnsi="宋体" w:eastAsia="宋体" w:cs="宋体"/>
        <w:spacing w:val="0"/>
        <w:sz w:val="28"/>
        <w:szCs w:val="28"/>
      </w:rPr>
      <w:fldChar w:fldCharType="end"/>
    </w:r>
    <w:r>
      <w:rPr>
        <w:rFonts w:hint="eastAsia" w:ascii="宋体" w:hAnsi="宋体" w:eastAsia="宋体" w:cs="宋体"/>
        <w:spacing w:val="0"/>
        <w:sz w:val="28"/>
        <w:szCs w:val="28"/>
        <w:lang w:val="en-US" w:eastAsia="zh-CN"/>
      </w:rPr>
      <w:t xml:space="preserve"> </w:t>
    </w:r>
    <w:r>
      <w:rPr>
        <w:rFonts w:hint="eastAsia" w:ascii="宋体" w:hAnsi="宋体" w:eastAsia="宋体" w:cs="宋体"/>
        <w:spacing w:val="0"/>
        <w:sz w:val="28"/>
        <w:szCs w:val="28"/>
        <w:lang w:eastAsia="zh-CN"/>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ascii="Calibri" w:hAnsi="Calibri" w:eastAsia="仿宋_GB2312" w:cs="黑体"/>
        <w:kern w:val="2"/>
        <w:sz w:val="18"/>
        <w:szCs w:val="18"/>
        <w:lang w:val="en-US" w:eastAsia="zh-CN" w:bidi="ar-SA"/>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033145" cy="1828800"/>
              <wp:effectExtent l="0" t="0" r="0" b="0"/>
              <wp:wrapNone/>
              <wp:docPr id="3" name="文本框 3"/>
              <wp:cNvGraphicFramePr/>
              <a:graphic xmlns:a="http://schemas.openxmlformats.org/drawingml/2006/main">
                <a:graphicData uri="http://schemas.microsoft.com/office/word/2010/wordprocessingShape">
                  <wps:wsp>
                    <wps:cNvSpPr/>
                    <wps:spPr>
                      <a:xfrm>
                        <a:off x="0" y="0"/>
                        <a:ext cx="1033145" cy="1828800"/>
                      </a:xfrm>
                      <a:prstGeom prst="rect">
                        <a:avLst/>
                      </a:prstGeom>
                      <a:noFill/>
                      <a:ln>
                        <a:noFill/>
                      </a:ln>
                    </wps:spPr>
                    <wps:txbx>
                      <w:txbxContent>
                        <w:p>
                          <w:pPr>
                            <w:snapToGrid w:val="0"/>
                            <w:ind w:firstLine="280" w:firstLineChars="100"/>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wps:txbx>
                    <wps:bodyPr lIns="0" tIns="0" rIns="0" bIns="0" upright="1">
                      <a:spAutoFit/>
                    </wps:bodyPr>
                  </wps:wsp>
                </a:graphicData>
              </a:graphic>
            </wp:anchor>
          </w:drawing>
        </mc:Choice>
        <mc:Fallback>
          <w:pict>
            <v:rect id="文本框 3" o:spid="_x0000_s1026" o:spt="1" style="position:absolute;left:0pt;margin-top:0pt;height:144pt;width:81.35pt;mso-position-horizontal:outside;mso-position-horizontal-relative:margin;z-index:251661312;mso-width-relative:page;mso-height-relative:page;" filled="f" stroked="f" coordsize="21600,21600" o:gfxdata="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Cpt03F1QAAAAUBAAAPAAAAAAAAAAEAIAAAACIAAABkcnMvZG93bnJldi54bWxQ&#10;SwECFAAUAAAACACHTuJA2SXwEsEBAACDAwAADgAAAAAAAAABACAAAAAkAQAAZHJzL2Uyb0RvYy54&#10;bWxQSwUGAAAAAAYABgBZAQAAVwUAAAAA&#10;">
              <v:fill on="f" focussize="0,0"/>
              <v:stroke on="f"/>
              <v:imagedata o:title=""/>
              <o:lock v:ext="edit" aspectratio="f"/>
              <v:textbox inset="0mm,0mm,0mm,0mm" style="mso-fit-shape-to-text:t;">
                <w:txbxContent>
                  <w:p>
                    <w:pPr>
                      <w:snapToGrid w:val="0"/>
                      <w:ind w:firstLine="280" w:firstLineChars="100"/>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76FBDC"/>
    <w:multiLevelType w:val="singleLevel"/>
    <w:tmpl w:val="8176FBDC"/>
    <w:lvl w:ilvl="0" w:tentative="0">
      <w:start w:val="1"/>
      <w:numFmt w:val="lowerLetter"/>
      <w:lvlText w:val="%1."/>
      <w:lvlJc w:val="left"/>
      <w:pPr>
        <w:ind w:left="425" w:hanging="425"/>
      </w:pPr>
      <w:rPr>
        <w:rFonts w:hint="default"/>
      </w:rPr>
    </w:lvl>
  </w:abstractNum>
  <w:abstractNum w:abstractNumId="1">
    <w:nsid w:val="83342C9A"/>
    <w:multiLevelType w:val="singleLevel"/>
    <w:tmpl w:val="83342C9A"/>
    <w:lvl w:ilvl="0" w:tentative="0">
      <w:start w:val="1"/>
      <w:numFmt w:val="lowerLetter"/>
      <w:lvlText w:val="%1."/>
      <w:lvlJc w:val="left"/>
      <w:pPr>
        <w:ind w:left="425" w:hanging="425"/>
      </w:pPr>
      <w:rPr>
        <w:rFonts w:hint="default"/>
      </w:rPr>
    </w:lvl>
  </w:abstractNum>
  <w:abstractNum w:abstractNumId="2">
    <w:nsid w:val="8511CC1E"/>
    <w:multiLevelType w:val="singleLevel"/>
    <w:tmpl w:val="8511CC1E"/>
    <w:lvl w:ilvl="0" w:tentative="0">
      <w:start w:val="1"/>
      <w:numFmt w:val="lowerLetter"/>
      <w:lvlText w:val="%1."/>
      <w:lvlJc w:val="left"/>
      <w:pPr>
        <w:ind w:left="425" w:hanging="425"/>
      </w:pPr>
      <w:rPr>
        <w:rFonts w:hint="default"/>
      </w:rPr>
    </w:lvl>
  </w:abstractNum>
  <w:abstractNum w:abstractNumId="3">
    <w:nsid w:val="851B8219"/>
    <w:multiLevelType w:val="singleLevel"/>
    <w:tmpl w:val="851B8219"/>
    <w:lvl w:ilvl="0" w:tentative="0">
      <w:start w:val="1"/>
      <w:numFmt w:val="lowerLetter"/>
      <w:lvlText w:val="%1."/>
      <w:lvlJc w:val="left"/>
      <w:pPr>
        <w:ind w:left="425" w:hanging="425"/>
      </w:pPr>
      <w:rPr>
        <w:rFonts w:hint="default"/>
      </w:rPr>
    </w:lvl>
  </w:abstractNum>
  <w:abstractNum w:abstractNumId="4">
    <w:nsid w:val="86A7871A"/>
    <w:multiLevelType w:val="singleLevel"/>
    <w:tmpl w:val="86A7871A"/>
    <w:lvl w:ilvl="0" w:tentative="0">
      <w:start w:val="1"/>
      <w:numFmt w:val="decimal"/>
      <w:lvlText w:val="%1."/>
      <w:lvlJc w:val="left"/>
      <w:pPr>
        <w:ind w:left="425" w:hanging="425"/>
      </w:pPr>
      <w:rPr>
        <w:rFonts w:hint="default" w:ascii="宋体" w:hAnsi="宋体" w:eastAsia="宋体" w:cs="宋体"/>
      </w:rPr>
    </w:lvl>
  </w:abstractNum>
  <w:abstractNum w:abstractNumId="5">
    <w:nsid w:val="8877B9CD"/>
    <w:multiLevelType w:val="singleLevel"/>
    <w:tmpl w:val="8877B9CD"/>
    <w:lvl w:ilvl="0" w:tentative="0">
      <w:start w:val="1"/>
      <w:numFmt w:val="lowerLetter"/>
      <w:lvlText w:val="%1."/>
      <w:lvlJc w:val="left"/>
      <w:pPr>
        <w:ind w:left="425" w:hanging="425"/>
      </w:pPr>
      <w:rPr>
        <w:rFonts w:hint="default"/>
      </w:rPr>
    </w:lvl>
  </w:abstractNum>
  <w:abstractNum w:abstractNumId="6">
    <w:nsid w:val="89ADB99F"/>
    <w:multiLevelType w:val="singleLevel"/>
    <w:tmpl w:val="89ADB99F"/>
    <w:lvl w:ilvl="0" w:tentative="0">
      <w:start w:val="1"/>
      <w:numFmt w:val="lowerLetter"/>
      <w:lvlText w:val="%1."/>
      <w:lvlJc w:val="left"/>
      <w:pPr>
        <w:ind w:left="425" w:hanging="425"/>
      </w:pPr>
      <w:rPr>
        <w:rFonts w:hint="default"/>
      </w:rPr>
    </w:lvl>
  </w:abstractNum>
  <w:abstractNum w:abstractNumId="7">
    <w:nsid w:val="8BEB9794"/>
    <w:multiLevelType w:val="singleLevel"/>
    <w:tmpl w:val="8BEB9794"/>
    <w:lvl w:ilvl="0" w:tentative="0">
      <w:start w:val="1"/>
      <w:numFmt w:val="lowerLetter"/>
      <w:lvlText w:val="%1."/>
      <w:lvlJc w:val="left"/>
      <w:pPr>
        <w:ind w:left="425" w:hanging="425"/>
      </w:pPr>
      <w:rPr>
        <w:rFonts w:hint="default"/>
      </w:rPr>
    </w:lvl>
  </w:abstractNum>
  <w:abstractNum w:abstractNumId="8">
    <w:nsid w:val="90B2DCB4"/>
    <w:multiLevelType w:val="singleLevel"/>
    <w:tmpl w:val="90B2DCB4"/>
    <w:lvl w:ilvl="0" w:tentative="0">
      <w:start w:val="1"/>
      <w:numFmt w:val="lowerLetter"/>
      <w:lvlText w:val="%1."/>
      <w:lvlJc w:val="left"/>
      <w:pPr>
        <w:ind w:left="425" w:hanging="425"/>
      </w:pPr>
      <w:rPr>
        <w:rFonts w:hint="default"/>
      </w:rPr>
    </w:lvl>
  </w:abstractNum>
  <w:abstractNum w:abstractNumId="9">
    <w:nsid w:val="90CF2299"/>
    <w:multiLevelType w:val="singleLevel"/>
    <w:tmpl w:val="90CF2299"/>
    <w:lvl w:ilvl="0" w:tentative="0">
      <w:start w:val="1"/>
      <w:numFmt w:val="lowerLetter"/>
      <w:lvlText w:val="%1."/>
      <w:lvlJc w:val="left"/>
      <w:pPr>
        <w:ind w:left="425" w:hanging="425"/>
      </w:pPr>
      <w:rPr>
        <w:rFonts w:hint="default"/>
      </w:rPr>
    </w:lvl>
  </w:abstractNum>
  <w:abstractNum w:abstractNumId="10">
    <w:nsid w:val="90EA082A"/>
    <w:multiLevelType w:val="singleLevel"/>
    <w:tmpl w:val="90EA082A"/>
    <w:lvl w:ilvl="0" w:tentative="0">
      <w:start w:val="1"/>
      <w:numFmt w:val="lowerLetter"/>
      <w:lvlText w:val="%1."/>
      <w:lvlJc w:val="left"/>
      <w:pPr>
        <w:ind w:left="425" w:hanging="425"/>
      </w:pPr>
      <w:rPr>
        <w:rFonts w:hint="default"/>
      </w:rPr>
    </w:lvl>
  </w:abstractNum>
  <w:abstractNum w:abstractNumId="11">
    <w:nsid w:val="93AAEC79"/>
    <w:multiLevelType w:val="singleLevel"/>
    <w:tmpl w:val="93AAEC79"/>
    <w:lvl w:ilvl="0" w:tentative="0">
      <w:start w:val="1"/>
      <w:numFmt w:val="lowerLetter"/>
      <w:lvlText w:val="%1."/>
      <w:lvlJc w:val="left"/>
      <w:pPr>
        <w:ind w:left="425" w:hanging="425"/>
      </w:pPr>
      <w:rPr>
        <w:rFonts w:hint="default"/>
      </w:rPr>
    </w:lvl>
  </w:abstractNum>
  <w:abstractNum w:abstractNumId="12">
    <w:nsid w:val="9434CD03"/>
    <w:multiLevelType w:val="singleLevel"/>
    <w:tmpl w:val="9434CD03"/>
    <w:lvl w:ilvl="0" w:tentative="0">
      <w:start w:val="1"/>
      <w:numFmt w:val="lowerLetter"/>
      <w:lvlText w:val="%1."/>
      <w:lvlJc w:val="left"/>
      <w:pPr>
        <w:ind w:left="425" w:hanging="425"/>
      </w:pPr>
      <w:rPr>
        <w:rFonts w:hint="default"/>
      </w:rPr>
    </w:lvl>
  </w:abstractNum>
  <w:abstractNum w:abstractNumId="13">
    <w:nsid w:val="95BACDB8"/>
    <w:multiLevelType w:val="singleLevel"/>
    <w:tmpl w:val="95BACDB8"/>
    <w:lvl w:ilvl="0" w:tentative="0">
      <w:start w:val="1"/>
      <w:numFmt w:val="lowerLetter"/>
      <w:lvlText w:val="%1."/>
      <w:lvlJc w:val="left"/>
      <w:pPr>
        <w:ind w:left="425" w:hanging="425"/>
      </w:pPr>
      <w:rPr>
        <w:rFonts w:hint="default"/>
      </w:rPr>
    </w:lvl>
  </w:abstractNum>
  <w:abstractNum w:abstractNumId="14">
    <w:nsid w:val="965D9A76"/>
    <w:multiLevelType w:val="singleLevel"/>
    <w:tmpl w:val="965D9A76"/>
    <w:lvl w:ilvl="0" w:tentative="0">
      <w:start w:val="1"/>
      <w:numFmt w:val="lowerLetter"/>
      <w:lvlText w:val="%1."/>
      <w:lvlJc w:val="left"/>
      <w:pPr>
        <w:ind w:left="425" w:hanging="425"/>
      </w:pPr>
      <w:rPr>
        <w:rFonts w:hint="default"/>
      </w:rPr>
    </w:lvl>
  </w:abstractNum>
  <w:abstractNum w:abstractNumId="15">
    <w:nsid w:val="995A2A9F"/>
    <w:multiLevelType w:val="singleLevel"/>
    <w:tmpl w:val="995A2A9F"/>
    <w:lvl w:ilvl="0" w:tentative="0">
      <w:start w:val="1"/>
      <w:numFmt w:val="lowerLetter"/>
      <w:lvlText w:val="%1."/>
      <w:lvlJc w:val="left"/>
      <w:pPr>
        <w:ind w:left="425" w:hanging="425"/>
      </w:pPr>
      <w:rPr>
        <w:rFonts w:hint="default"/>
      </w:rPr>
    </w:lvl>
  </w:abstractNum>
  <w:abstractNum w:abstractNumId="16">
    <w:nsid w:val="9A23B43E"/>
    <w:multiLevelType w:val="singleLevel"/>
    <w:tmpl w:val="9A23B43E"/>
    <w:lvl w:ilvl="0" w:tentative="0">
      <w:start w:val="1"/>
      <w:numFmt w:val="lowerLetter"/>
      <w:lvlText w:val="%1."/>
      <w:lvlJc w:val="left"/>
      <w:pPr>
        <w:ind w:left="425" w:hanging="425"/>
      </w:pPr>
      <w:rPr>
        <w:rFonts w:hint="default"/>
      </w:rPr>
    </w:lvl>
  </w:abstractNum>
  <w:abstractNum w:abstractNumId="17">
    <w:nsid w:val="9B1F8E54"/>
    <w:multiLevelType w:val="singleLevel"/>
    <w:tmpl w:val="9B1F8E54"/>
    <w:lvl w:ilvl="0" w:tentative="0">
      <w:start w:val="1"/>
      <w:numFmt w:val="lowerLetter"/>
      <w:lvlText w:val="%1."/>
      <w:lvlJc w:val="left"/>
      <w:pPr>
        <w:ind w:left="425" w:hanging="425"/>
      </w:pPr>
      <w:rPr>
        <w:rFonts w:hint="default"/>
      </w:rPr>
    </w:lvl>
  </w:abstractNum>
  <w:abstractNum w:abstractNumId="18">
    <w:nsid w:val="9F39460D"/>
    <w:multiLevelType w:val="singleLevel"/>
    <w:tmpl w:val="9F39460D"/>
    <w:lvl w:ilvl="0" w:tentative="0">
      <w:start w:val="1"/>
      <w:numFmt w:val="lowerLetter"/>
      <w:lvlText w:val="%1."/>
      <w:lvlJc w:val="left"/>
      <w:pPr>
        <w:ind w:left="425" w:hanging="425"/>
      </w:pPr>
      <w:rPr>
        <w:rFonts w:hint="default"/>
      </w:rPr>
    </w:lvl>
  </w:abstractNum>
  <w:abstractNum w:abstractNumId="19">
    <w:nsid w:val="A0EED73E"/>
    <w:multiLevelType w:val="singleLevel"/>
    <w:tmpl w:val="A0EED73E"/>
    <w:lvl w:ilvl="0" w:tentative="0">
      <w:start w:val="1"/>
      <w:numFmt w:val="lowerLetter"/>
      <w:lvlText w:val="%1."/>
      <w:lvlJc w:val="left"/>
      <w:pPr>
        <w:ind w:left="425" w:hanging="425"/>
      </w:pPr>
      <w:rPr>
        <w:rFonts w:hint="default"/>
      </w:rPr>
    </w:lvl>
  </w:abstractNum>
  <w:abstractNum w:abstractNumId="20">
    <w:nsid w:val="A3B26920"/>
    <w:multiLevelType w:val="singleLevel"/>
    <w:tmpl w:val="A3B26920"/>
    <w:lvl w:ilvl="0" w:tentative="0">
      <w:start w:val="1"/>
      <w:numFmt w:val="lowerLetter"/>
      <w:lvlText w:val="%1."/>
      <w:lvlJc w:val="left"/>
      <w:pPr>
        <w:ind w:left="425" w:hanging="425"/>
      </w:pPr>
      <w:rPr>
        <w:rFonts w:hint="default"/>
      </w:rPr>
    </w:lvl>
  </w:abstractNum>
  <w:abstractNum w:abstractNumId="21">
    <w:nsid w:val="A500C4C2"/>
    <w:multiLevelType w:val="singleLevel"/>
    <w:tmpl w:val="A500C4C2"/>
    <w:lvl w:ilvl="0" w:tentative="0">
      <w:start w:val="1"/>
      <w:numFmt w:val="lowerLetter"/>
      <w:lvlText w:val="%1."/>
      <w:lvlJc w:val="left"/>
      <w:pPr>
        <w:ind w:left="425" w:hanging="425"/>
      </w:pPr>
      <w:rPr>
        <w:rFonts w:hint="default"/>
      </w:rPr>
    </w:lvl>
  </w:abstractNum>
  <w:abstractNum w:abstractNumId="22">
    <w:nsid w:val="A7EF9CE3"/>
    <w:multiLevelType w:val="singleLevel"/>
    <w:tmpl w:val="A7EF9CE3"/>
    <w:lvl w:ilvl="0" w:tentative="0">
      <w:start w:val="1"/>
      <w:numFmt w:val="lowerLetter"/>
      <w:lvlText w:val="%1."/>
      <w:lvlJc w:val="left"/>
      <w:pPr>
        <w:ind w:left="425" w:hanging="425"/>
      </w:pPr>
      <w:rPr>
        <w:rFonts w:hint="default"/>
      </w:rPr>
    </w:lvl>
  </w:abstractNum>
  <w:abstractNum w:abstractNumId="23">
    <w:nsid w:val="B1E274C8"/>
    <w:multiLevelType w:val="singleLevel"/>
    <w:tmpl w:val="B1E274C8"/>
    <w:lvl w:ilvl="0" w:tentative="0">
      <w:start w:val="1"/>
      <w:numFmt w:val="lowerLetter"/>
      <w:lvlText w:val="%1."/>
      <w:lvlJc w:val="left"/>
      <w:pPr>
        <w:ind w:left="425" w:hanging="425"/>
      </w:pPr>
      <w:rPr>
        <w:rFonts w:hint="default"/>
      </w:rPr>
    </w:lvl>
  </w:abstractNum>
  <w:abstractNum w:abstractNumId="24">
    <w:nsid w:val="B3A9CA72"/>
    <w:multiLevelType w:val="singleLevel"/>
    <w:tmpl w:val="B3A9CA72"/>
    <w:lvl w:ilvl="0" w:tentative="0">
      <w:start w:val="1"/>
      <w:numFmt w:val="lowerLetter"/>
      <w:lvlText w:val="%1."/>
      <w:lvlJc w:val="left"/>
      <w:pPr>
        <w:ind w:left="425" w:hanging="425"/>
      </w:pPr>
      <w:rPr>
        <w:rFonts w:hint="default"/>
      </w:rPr>
    </w:lvl>
  </w:abstractNum>
  <w:abstractNum w:abstractNumId="25">
    <w:nsid w:val="B66138BF"/>
    <w:multiLevelType w:val="singleLevel"/>
    <w:tmpl w:val="B66138BF"/>
    <w:lvl w:ilvl="0" w:tentative="0">
      <w:start w:val="1"/>
      <w:numFmt w:val="lowerLetter"/>
      <w:lvlText w:val="%1."/>
      <w:lvlJc w:val="left"/>
      <w:pPr>
        <w:ind w:left="425" w:hanging="425"/>
      </w:pPr>
      <w:rPr>
        <w:rFonts w:hint="default"/>
      </w:rPr>
    </w:lvl>
  </w:abstractNum>
  <w:abstractNum w:abstractNumId="26">
    <w:nsid w:val="B9A3A04B"/>
    <w:multiLevelType w:val="singleLevel"/>
    <w:tmpl w:val="B9A3A04B"/>
    <w:lvl w:ilvl="0" w:tentative="0">
      <w:start w:val="1"/>
      <w:numFmt w:val="lowerLetter"/>
      <w:lvlText w:val="%1."/>
      <w:lvlJc w:val="left"/>
      <w:pPr>
        <w:ind w:left="425" w:hanging="425"/>
      </w:pPr>
      <w:rPr>
        <w:rFonts w:hint="default"/>
      </w:rPr>
    </w:lvl>
  </w:abstractNum>
  <w:abstractNum w:abstractNumId="27">
    <w:nsid w:val="BC0BF47B"/>
    <w:multiLevelType w:val="singleLevel"/>
    <w:tmpl w:val="BC0BF47B"/>
    <w:lvl w:ilvl="0" w:tentative="0">
      <w:start w:val="1"/>
      <w:numFmt w:val="lowerLetter"/>
      <w:lvlText w:val="%1."/>
      <w:lvlJc w:val="left"/>
      <w:pPr>
        <w:ind w:left="425" w:hanging="425"/>
      </w:pPr>
      <w:rPr>
        <w:rFonts w:hint="default"/>
      </w:rPr>
    </w:lvl>
  </w:abstractNum>
  <w:abstractNum w:abstractNumId="28">
    <w:nsid w:val="BC69E7A0"/>
    <w:multiLevelType w:val="singleLevel"/>
    <w:tmpl w:val="BC69E7A0"/>
    <w:lvl w:ilvl="0" w:tentative="0">
      <w:start w:val="1"/>
      <w:numFmt w:val="lowerLetter"/>
      <w:lvlText w:val="%1."/>
      <w:lvlJc w:val="left"/>
      <w:pPr>
        <w:ind w:left="425" w:hanging="425"/>
      </w:pPr>
      <w:rPr>
        <w:rFonts w:hint="default"/>
      </w:rPr>
    </w:lvl>
  </w:abstractNum>
  <w:abstractNum w:abstractNumId="29">
    <w:nsid w:val="C0639491"/>
    <w:multiLevelType w:val="singleLevel"/>
    <w:tmpl w:val="C0639491"/>
    <w:lvl w:ilvl="0" w:tentative="0">
      <w:start w:val="1"/>
      <w:numFmt w:val="lowerLetter"/>
      <w:lvlText w:val="%1."/>
      <w:lvlJc w:val="left"/>
      <w:pPr>
        <w:ind w:left="425" w:hanging="425"/>
      </w:pPr>
      <w:rPr>
        <w:rFonts w:hint="default"/>
      </w:rPr>
    </w:lvl>
  </w:abstractNum>
  <w:abstractNum w:abstractNumId="30">
    <w:nsid w:val="C269A83E"/>
    <w:multiLevelType w:val="singleLevel"/>
    <w:tmpl w:val="C269A83E"/>
    <w:lvl w:ilvl="0" w:tentative="0">
      <w:start w:val="1"/>
      <w:numFmt w:val="lowerLetter"/>
      <w:lvlText w:val="%1."/>
      <w:lvlJc w:val="left"/>
      <w:pPr>
        <w:ind w:left="425" w:hanging="425"/>
      </w:pPr>
      <w:rPr>
        <w:rFonts w:hint="default"/>
      </w:rPr>
    </w:lvl>
  </w:abstractNum>
  <w:abstractNum w:abstractNumId="31">
    <w:nsid w:val="C3807B20"/>
    <w:multiLevelType w:val="singleLevel"/>
    <w:tmpl w:val="C3807B20"/>
    <w:lvl w:ilvl="0" w:tentative="0">
      <w:start w:val="1"/>
      <w:numFmt w:val="lowerLetter"/>
      <w:lvlText w:val="%1."/>
      <w:lvlJc w:val="left"/>
      <w:pPr>
        <w:ind w:left="425" w:hanging="425"/>
      </w:pPr>
      <w:rPr>
        <w:rFonts w:hint="default"/>
      </w:rPr>
    </w:lvl>
  </w:abstractNum>
  <w:abstractNum w:abstractNumId="32">
    <w:nsid w:val="C532DFC4"/>
    <w:multiLevelType w:val="singleLevel"/>
    <w:tmpl w:val="C532DFC4"/>
    <w:lvl w:ilvl="0" w:tentative="0">
      <w:start w:val="1"/>
      <w:numFmt w:val="lowerLetter"/>
      <w:lvlText w:val="%1."/>
      <w:lvlJc w:val="left"/>
      <w:pPr>
        <w:ind w:left="425" w:hanging="425"/>
      </w:pPr>
      <w:rPr>
        <w:rFonts w:hint="default"/>
      </w:rPr>
    </w:lvl>
  </w:abstractNum>
  <w:abstractNum w:abstractNumId="33">
    <w:nsid w:val="C83BDEB6"/>
    <w:multiLevelType w:val="singleLevel"/>
    <w:tmpl w:val="C83BDEB6"/>
    <w:lvl w:ilvl="0" w:tentative="0">
      <w:start w:val="1"/>
      <w:numFmt w:val="lowerLetter"/>
      <w:lvlText w:val="%1."/>
      <w:lvlJc w:val="left"/>
      <w:pPr>
        <w:ind w:left="425" w:hanging="425"/>
      </w:pPr>
      <w:rPr>
        <w:rFonts w:hint="default"/>
      </w:rPr>
    </w:lvl>
  </w:abstractNum>
  <w:abstractNum w:abstractNumId="34">
    <w:nsid w:val="CB6D3C98"/>
    <w:multiLevelType w:val="singleLevel"/>
    <w:tmpl w:val="CB6D3C98"/>
    <w:lvl w:ilvl="0" w:tentative="0">
      <w:start w:val="1"/>
      <w:numFmt w:val="decimal"/>
      <w:lvlText w:val="%1."/>
      <w:lvlJc w:val="left"/>
      <w:pPr>
        <w:ind w:left="425" w:hanging="425"/>
      </w:pPr>
      <w:rPr>
        <w:rFonts w:hint="default" w:ascii="宋体" w:hAnsi="宋体" w:eastAsia="宋体" w:cs="宋体"/>
      </w:rPr>
    </w:lvl>
  </w:abstractNum>
  <w:abstractNum w:abstractNumId="35">
    <w:nsid w:val="CC1D0F1F"/>
    <w:multiLevelType w:val="singleLevel"/>
    <w:tmpl w:val="CC1D0F1F"/>
    <w:lvl w:ilvl="0" w:tentative="0">
      <w:start w:val="1"/>
      <w:numFmt w:val="lowerLetter"/>
      <w:lvlText w:val="%1."/>
      <w:lvlJc w:val="left"/>
      <w:pPr>
        <w:ind w:left="425" w:hanging="425"/>
      </w:pPr>
      <w:rPr>
        <w:rFonts w:hint="default"/>
      </w:rPr>
    </w:lvl>
  </w:abstractNum>
  <w:abstractNum w:abstractNumId="36">
    <w:nsid w:val="CE3D0A57"/>
    <w:multiLevelType w:val="singleLevel"/>
    <w:tmpl w:val="CE3D0A57"/>
    <w:lvl w:ilvl="0" w:tentative="0">
      <w:start w:val="1"/>
      <w:numFmt w:val="lowerLetter"/>
      <w:lvlText w:val="%1."/>
      <w:lvlJc w:val="left"/>
      <w:pPr>
        <w:ind w:left="425" w:hanging="425"/>
      </w:pPr>
      <w:rPr>
        <w:rFonts w:hint="default"/>
      </w:rPr>
    </w:lvl>
  </w:abstractNum>
  <w:abstractNum w:abstractNumId="37">
    <w:nsid w:val="D01921B5"/>
    <w:multiLevelType w:val="singleLevel"/>
    <w:tmpl w:val="D01921B5"/>
    <w:lvl w:ilvl="0" w:tentative="0">
      <w:start w:val="1"/>
      <w:numFmt w:val="lowerLetter"/>
      <w:lvlText w:val="%1."/>
      <w:lvlJc w:val="left"/>
      <w:pPr>
        <w:ind w:left="425" w:hanging="425"/>
      </w:pPr>
      <w:rPr>
        <w:rFonts w:hint="default"/>
      </w:rPr>
    </w:lvl>
  </w:abstractNum>
  <w:abstractNum w:abstractNumId="38">
    <w:nsid w:val="D280596C"/>
    <w:multiLevelType w:val="singleLevel"/>
    <w:tmpl w:val="D280596C"/>
    <w:lvl w:ilvl="0" w:tentative="0">
      <w:start w:val="1"/>
      <w:numFmt w:val="lowerLetter"/>
      <w:lvlText w:val="%1."/>
      <w:lvlJc w:val="left"/>
      <w:pPr>
        <w:ind w:left="425" w:hanging="425"/>
      </w:pPr>
      <w:rPr>
        <w:rFonts w:hint="default"/>
      </w:rPr>
    </w:lvl>
  </w:abstractNum>
  <w:abstractNum w:abstractNumId="39">
    <w:nsid w:val="D7EE15D3"/>
    <w:multiLevelType w:val="singleLevel"/>
    <w:tmpl w:val="D7EE15D3"/>
    <w:lvl w:ilvl="0" w:tentative="0">
      <w:start w:val="1"/>
      <w:numFmt w:val="lowerLetter"/>
      <w:lvlText w:val="%1."/>
      <w:lvlJc w:val="left"/>
      <w:pPr>
        <w:ind w:left="425" w:hanging="425"/>
      </w:pPr>
      <w:rPr>
        <w:rFonts w:hint="default"/>
      </w:rPr>
    </w:lvl>
  </w:abstractNum>
  <w:abstractNum w:abstractNumId="40">
    <w:nsid w:val="DB95BDC1"/>
    <w:multiLevelType w:val="singleLevel"/>
    <w:tmpl w:val="DB95BDC1"/>
    <w:lvl w:ilvl="0" w:tentative="0">
      <w:start w:val="1"/>
      <w:numFmt w:val="lowerLetter"/>
      <w:lvlText w:val="%1."/>
      <w:lvlJc w:val="left"/>
      <w:pPr>
        <w:ind w:left="425" w:hanging="425"/>
      </w:pPr>
      <w:rPr>
        <w:rFonts w:hint="default"/>
      </w:rPr>
    </w:lvl>
  </w:abstractNum>
  <w:abstractNum w:abstractNumId="41">
    <w:nsid w:val="DCE47F50"/>
    <w:multiLevelType w:val="singleLevel"/>
    <w:tmpl w:val="DCE47F50"/>
    <w:lvl w:ilvl="0" w:tentative="0">
      <w:start w:val="1"/>
      <w:numFmt w:val="lowerLetter"/>
      <w:lvlText w:val="%1."/>
      <w:lvlJc w:val="left"/>
      <w:pPr>
        <w:ind w:left="425" w:hanging="425"/>
      </w:pPr>
      <w:rPr>
        <w:rFonts w:hint="default"/>
      </w:rPr>
    </w:lvl>
  </w:abstractNum>
  <w:abstractNum w:abstractNumId="42">
    <w:nsid w:val="E2059EB7"/>
    <w:multiLevelType w:val="singleLevel"/>
    <w:tmpl w:val="E2059EB7"/>
    <w:lvl w:ilvl="0" w:tentative="0">
      <w:start w:val="1"/>
      <w:numFmt w:val="lowerLetter"/>
      <w:lvlText w:val="%1."/>
      <w:lvlJc w:val="left"/>
      <w:pPr>
        <w:ind w:left="425" w:hanging="425"/>
      </w:pPr>
      <w:rPr>
        <w:rFonts w:hint="default"/>
      </w:rPr>
    </w:lvl>
  </w:abstractNum>
  <w:abstractNum w:abstractNumId="43">
    <w:nsid w:val="E50EFE00"/>
    <w:multiLevelType w:val="singleLevel"/>
    <w:tmpl w:val="E50EFE00"/>
    <w:lvl w:ilvl="0" w:tentative="0">
      <w:start w:val="1"/>
      <w:numFmt w:val="lowerLetter"/>
      <w:lvlText w:val="%1."/>
      <w:lvlJc w:val="left"/>
      <w:pPr>
        <w:ind w:left="425" w:hanging="425"/>
      </w:pPr>
      <w:rPr>
        <w:rFonts w:hint="default"/>
      </w:rPr>
    </w:lvl>
  </w:abstractNum>
  <w:abstractNum w:abstractNumId="44">
    <w:nsid w:val="E73CABB0"/>
    <w:multiLevelType w:val="singleLevel"/>
    <w:tmpl w:val="E73CABB0"/>
    <w:lvl w:ilvl="0" w:tentative="0">
      <w:start w:val="1"/>
      <w:numFmt w:val="lowerLetter"/>
      <w:lvlText w:val="%1."/>
      <w:lvlJc w:val="left"/>
      <w:pPr>
        <w:ind w:left="425" w:hanging="425"/>
      </w:pPr>
      <w:rPr>
        <w:rFonts w:hint="default"/>
      </w:rPr>
    </w:lvl>
  </w:abstractNum>
  <w:abstractNum w:abstractNumId="45">
    <w:nsid w:val="E9233AA2"/>
    <w:multiLevelType w:val="singleLevel"/>
    <w:tmpl w:val="E9233AA2"/>
    <w:lvl w:ilvl="0" w:tentative="0">
      <w:start w:val="1"/>
      <w:numFmt w:val="lowerLetter"/>
      <w:lvlText w:val="%1."/>
      <w:lvlJc w:val="left"/>
      <w:pPr>
        <w:ind w:left="425" w:hanging="425"/>
      </w:pPr>
      <w:rPr>
        <w:rFonts w:hint="default"/>
      </w:rPr>
    </w:lvl>
  </w:abstractNum>
  <w:abstractNum w:abstractNumId="46">
    <w:nsid w:val="F2D6534F"/>
    <w:multiLevelType w:val="singleLevel"/>
    <w:tmpl w:val="F2D6534F"/>
    <w:lvl w:ilvl="0" w:tentative="0">
      <w:start w:val="1"/>
      <w:numFmt w:val="lowerLetter"/>
      <w:lvlText w:val="%1."/>
      <w:lvlJc w:val="left"/>
      <w:pPr>
        <w:ind w:left="425" w:hanging="425"/>
      </w:pPr>
      <w:rPr>
        <w:rFonts w:hint="default"/>
      </w:rPr>
    </w:lvl>
  </w:abstractNum>
  <w:abstractNum w:abstractNumId="47">
    <w:nsid w:val="F41E0BDA"/>
    <w:multiLevelType w:val="singleLevel"/>
    <w:tmpl w:val="F41E0BDA"/>
    <w:lvl w:ilvl="0" w:tentative="0">
      <w:start w:val="1"/>
      <w:numFmt w:val="decimal"/>
      <w:lvlText w:val="%1."/>
      <w:lvlJc w:val="left"/>
      <w:pPr>
        <w:ind w:left="425" w:hanging="425"/>
      </w:pPr>
      <w:rPr>
        <w:rFonts w:hint="default" w:ascii="宋体" w:hAnsi="宋体" w:eastAsia="宋体" w:cs="宋体"/>
        <w:sz w:val="28"/>
        <w:szCs w:val="28"/>
      </w:rPr>
    </w:lvl>
  </w:abstractNum>
  <w:abstractNum w:abstractNumId="48">
    <w:nsid w:val="FD3739DB"/>
    <w:multiLevelType w:val="singleLevel"/>
    <w:tmpl w:val="FD3739DB"/>
    <w:lvl w:ilvl="0" w:tentative="0">
      <w:start w:val="1"/>
      <w:numFmt w:val="lowerLetter"/>
      <w:lvlText w:val="%1."/>
      <w:lvlJc w:val="left"/>
      <w:pPr>
        <w:ind w:left="425" w:hanging="425"/>
      </w:pPr>
      <w:rPr>
        <w:rFonts w:hint="default"/>
      </w:rPr>
    </w:lvl>
  </w:abstractNum>
  <w:abstractNum w:abstractNumId="49">
    <w:nsid w:val="FF72664E"/>
    <w:multiLevelType w:val="singleLevel"/>
    <w:tmpl w:val="FF72664E"/>
    <w:lvl w:ilvl="0" w:tentative="0">
      <w:start w:val="1"/>
      <w:numFmt w:val="lowerLetter"/>
      <w:lvlText w:val="%1."/>
      <w:lvlJc w:val="left"/>
      <w:pPr>
        <w:ind w:left="425" w:hanging="425"/>
      </w:pPr>
      <w:rPr>
        <w:rFonts w:hint="default"/>
      </w:rPr>
    </w:lvl>
  </w:abstractNum>
  <w:abstractNum w:abstractNumId="50">
    <w:nsid w:val="005D4B91"/>
    <w:multiLevelType w:val="singleLevel"/>
    <w:tmpl w:val="005D4B91"/>
    <w:lvl w:ilvl="0" w:tentative="0">
      <w:start w:val="1"/>
      <w:numFmt w:val="lowerLetter"/>
      <w:lvlText w:val="%1."/>
      <w:lvlJc w:val="left"/>
      <w:pPr>
        <w:ind w:left="425" w:hanging="425"/>
      </w:pPr>
      <w:rPr>
        <w:rFonts w:hint="default"/>
      </w:rPr>
    </w:lvl>
  </w:abstractNum>
  <w:abstractNum w:abstractNumId="51">
    <w:nsid w:val="008F5E57"/>
    <w:multiLevelType w:val="singleLevel"/>
    <w:tmpl w:val="008F5E57"/>
    <w:lvl w:ilvl="0" w:tentative="0">
      <w:start w:val="1"/>
      <w:numFmt w:val="lowerLetter"/>
      <w:lvlText w:val="%1."/>
      <w:lvlJc w:val="left"/>
      <w:pPr>
        <w:ind w:left="425" w:hanging="425"/>
      </w:pPr>
      <w:rPr>
        <w:rFonts w:hint="default"/>
      </w:rPr>
    </w:lvl>
  </w:abstractNum>
  <w:abstractNum w:abstractNumId="52">
    <w:nsid w:val="0115812B"/>
    <w:multiLevelType w:val="singleLevel"/>
    <w:tmpl w:val="0115812B"/>
    <w:lvl w:ilvl="0" w:tentative="0">
      <w:start w:val="1"/>
      <w:numFmt w:val="lowerLetter"/>
      <w:lvlText w:val="%1."/>
      <w:lvlJc w:val="left"/>
      <w:pPr>
        <w:ind w:left="425" w:hanging="425"/>
      </w:pPr>
      <w:rPr>
        <w:rFonts w:hint="default"/>
      </w:rPr>
    </w:lvl>
  </w:abstractNum>
  <w:abstractNum w:abstractNumId="53">
    <w:nsid w:val="0267451C"/>
    <w:multiLevelType w:val="singleLevel"/>
    <w:tmpl w:val="0267451C"/>
    <w:lvl w:ilvl="0" w:tentative="0">
      <w:start w:val="1"/>
      <w:numFmt w:val="lowerLetter"/>
      <w:lvlText w:val="%1."/>
      <w:lvlJc w:val="left"/>
      <w:pPr>
        <w:ind w:left="425" w:hanging="425"/>
      </w:pPr>
      <w:rPr>
        <w:rFonts w:hint="default"/>
      </w:rPr>
    </w:lvl>
  </w:abstractNum>
  <w:abstractNum w:abstractNumId="54">
    <w:nsid w:val="02760291"/>
    <w:multiLevelType w:val="singleLevel"/>
    <w:tmpl w:val="02760291"/>
    <w:lvl w:ilvl="0" w:tentative="0">
      <w:start w:val="1"/>
      <w:numFmt w:val="lowerLetter"/>
      <w:lvlText w:val="%1."/>
      <w:lvlJc w:val="left"/>
      <w:pPr>
        <w:ind w:left="425" w:hanging="425"/>
      </w:pPr>
      <w:rPr>
        <w:rFonts w:hint="default"/>
      </w:rPr>
    </w:lvl>
  </w:abstractNum>
  <w:abstractNum w:abstractNumId="55">
    <w:nsid w:val="051F3F1E"/>
    <w:multiLevelType w:val="singleLevel"/>
    <w:tmpl w:val="051F3F1E"/>
    <w:lvl w:ilvl="0" w:tentative="0">
      <w:start w:val="1"/>
      <w:numFmt w:val="lowerLetter"/>
      <w:lvlText w:val="%1."/>
      <w:lvlJc w:val="left"/>
      <w:pPr>
        <w:ind w:left="425" w:hanging="425"/>
      </w:pPr>
      <w:rPr>
        <w:rFonts w:hint="default"/>
      </w:rPr>
    </w:lvl>
  </w:abstractNum>
  <w:abstractNum w:abstractNumId="56">
    <w:nsid w:val="08B03823"/>
    <w:multiLevelType w:val="singleLevel"/>
    <w:tmpl w:val="08B03823"/>
    <w:lvl w:ilvl="0" w:tentative="0">
      <w:start w:val="1"/>
      <w:numFmt w:val="lowerLetter"/>
      <w:lvlText w:val="%1."/>
      <w:lvlJc w:val="left"/>
      <w:pPr>
        <w:ind w:left="425" w:hanging="425"/>
      </w:pPr>
      <w:rPr>
        <w:rFonts w:hint="default"/>
      </w:rPr>
    </w:lvl>
  </w:abstractNum>
  <w:abstractNum w:abstractNumId="57">
    <w:nsid w:val="08BC1B24"/>
    <w:multiLevelType w:val="singleLevel"/>
    <w:tmpl w:val="08BC1B24"/>
    <w:lvl w:ilvl="0" w:tentative="0">
      <w:start w:val="1"/>
      <w:numFmt w:val="lowerLetter"/>
      <w:lvlText w:val="%1."/>
      <w:lvlJc w:val="left"/>
      <w:pPr>
        <w:ind w:left="425" w:hanging="425"/>
      </w:pPr>
      <w:rPr>
        <w:rFonts w:hint="default"/>
      </w:rPr>
    </w:lvl>
  </w:abstractNum>
  <w:abstractNum w:abstractNumId="58">
    <w:nsid w:val="0A14797F"/>
    <w:multiLevelType w:val="singleLevel"/>
    <w:tmpl w:val="0A14797F"/>
    <w:lvl w:ilvl="0" w:tentative="0">
      <w:start w:val="1"/>
      <w:numFmt w:val="lowerLetter"/>
      <w:lvlText w:val="%1."/>
      <w:lvlJc w:val="left"/>
      <w:pPr>
        <w:ind w:left="425" w:hanging="425"/>
      </w:pPr>
      <w:rPr>
        <w:rFonts w:hint="default"/>
      </w:rPr>
    </w:lvl>
  </w:abstractNum>
  <w:abstractNum w:abstractNumId="59">
    <w:nsid w:val="0B22A90C"/>
    <w:multiLevelType w:val="singleLevel"/>
    <w:tmpl w:val="0B22A90C"/>
    <w:lvl w:ilvl="0" w:tentative="0">
      <w:start w:val="1"/>
      <w:numFmt w:val="lowerLetter"/>
      <w:lvlText w:val="%1."/>
      <w:lvlJc w:val="left"/>
      <w:pPr>
        <w:ind w:left="425" w:hanging="425"/>
      </w:pPr>
      <w:rPr>
        <w:rFonts w:hint="default"/>
      </w:rPr>
    </w:lvl>
  </w:abstractNum>
  <w:abstractNum w:abstractNumId="60">
    <w:nsid w:val="106D145C"/>
    <w:multiLevelType w:val="singleLevel"/>
    <w:tmpl w:val="106D145C"/>
    <w:lvl w:ilvl="0" w:tentative="0">
      <w:start w:val="1"/>
      <w:numFmt w:val="lowerLetter"/>
      <w:lvlText w:val="%1."/>
      <w:lvlJc w:val="left"/>
      <w:pPr>
        <w:ind w:left="425" w:hanging="425"/>
      </w:pPr>
      <w:rPr>
        <w:rFonts w:hint="default"/>
      </w:rPr>
    </w:lvl>
  </w:abstractNum>
  <w:abstractNum w:abstractNumId="61">
    <w:nsid w:val="12F5244A"/>
    <w:multiLevelType w:val="singleLevel"/>
    <w:tmpl w:val="12F5244A"/>
    <w:lvl w:ilvl="0" w:tentative="0">
      <w:start w:val="1"/>
      <w:numFmt w:val="lowerLetter"/>
      <w:lvlText w:val="%1."/>
      <w:lvlJc w:val="left"/>
      <w:pPr>
        <w:ind w:left="425" w:hanging="425"/>
      </w:pPr>
      <w:rPr>
        <w:rFonts w:hint="default"/>
      </w:rPr>
    </w:lvl>
  </w:abstractNum>
  <w:abstractNum w:abstractNumId="62">
    <w:nsid w:val="14B39F4D"/>
    <w:multiLevelType w:val="singleLevel"/>
    <w:tmpl w:val="14B39F4D"/>
    <w:lvl w:ilvl="0" w:tentative="0">
      <w:start w:val="1"/>
      <w:numFmt w:val="lowerLetter"/>
      <w:lvlText w:val="%1."/>
      <w:lvlJc w:val="left"/>
      <w:pPr>
        <w:ind w:left="425" w:hanging="425"/>
      </w:pPr>
      <w:rPr>
        <w:rFonts w:hint="default"/>
      </w:rPr>
    </w:lvl>
  </w:abstractNum>
  <w:abstractNum w:abstractNumId="63">
    <w:nsid w:val="17DCBAD2"/>
    <w:multiLevelType w:val="singleLevel"/>
    <w:tmpl w:val="17DCBAD2"/>
    <w:lvl w:ilvl="0" w:tentative="0">
      <w:start w:val="1"/>
      <w:numFmt w:val="lowerLetter"/>
      <w:lvlText w:val="%1."/>
      <w:lvlJc w:val="left"/>
      <w:pPr>
        <w:ind w:left="425" w:hanging="425"/>
      </w:pPr>
      <w:rPr>
        <w:rFonts w:hint="default"/>
      </w:rPr>
    </w:lvl>
  </w:abstractNum>
  <w:abstractNum w:abstractNumId="64">
    <w:nsid w:val="19F33E74"/>
    <w:multiLevelType w:val="singleLevel"/>
    <w:tmpl w:val="19F33E74"/>
    <w:lvl w:ilvl="0" w:tentative="0">
      <w:start w:val="1"/>
      <w:numFmt w:val="lowerLetter"/>
      <w:lvlText w:val="%1."/>
      <w:lvlJc w:val="left"/>
      <w:pPr>
        <w:ind w:left="425" w:hanging="425"/>
      </w:pPr>
      <w:rPr>
        <w:rFonts w:hint="default"/>
      </w:rPr>
    </w:lvl>
  </w:abstractNum>
  <w:abstractNum w:abstractNumId="65">
    <w:nsid w:val="1E6336DD"/>
    <w:multiLevelType w:val="singleLevel"/>
    <w:tmpl w:val="1E6336DD"/>
    <w:lvl w:ilvl="0" w:tentative="0">
      <w:start w:val="1"/>
      <w:numFmt w:val="lowerLetter"/>
      <w:lvlText w:val="%1."/>
      <w:lvlJc w:val="left"/>
      <w:pPr>
        <w:ind w:left="425" w:hanging="425"/>
      </w:pPr>
      <w:rPr>
        <w:rFonts w:hint="default"/>
      </w:rPr>
    </w:lvl>
  </w:abstractNum>
  <w:abstractNum w:abstractNumId="66">
    <w:nsid w:val="1EA9983D"/>
    <w:multiLevelType w:val="singleLevel"/>
    <w:tmpl w:val="1EA9983D"/>
    <w:lvl w:ilvl="0" w:tentative="0">
      <w:start w:val="1"/>
      <w:numFmt w:val="lowerLetter"/>
      <w:lvlText w:val="%1."/>
      <w:lvlJc w:val="left"/>
      <w:pPr>
        <w:ind w:left="425" w:hanging="425"/>
      </w:pPr>
      <w:rPr>
        <w:rFonts w:hint="default"/>
      </w:rPr>
    </w:lvl>
  </w:abstractNum>
  <w:abstractNum w:abstractNumId="67">
    <w:nsid w:val="20402CA0"/>
    <w:multiLevelType w:val="singleLevel"/>
    <w:tmpl w:val="20402CA0"/>
    <w:lvl w:ilvl="0" w:tentative="0">
      <w:start w:val="1"/>
      <w:numFmt w:val="lowerLetter"/>
      <w:lvlText w:val="%1."/>
      <w:lvlJc w:val="left"/>
      <w:pPr>
        <w:ind w:left="425" w:hanging="425"/>
      </w:pPr>
      <w:rPr>
        <w:rFonts w:hint="default"/>
      </w:rPr>
    </w:lvl>
  </w:abstractNum>
  <w:abstractNum w:abstractNumId="68">
    <w:nsid w:val="228F0C45"/>
    <w:multiLevelType w:val="singleLevel"/>
    <w:tmpl w:val="228F0C45"/>
    <w:lvl w:ilvl="0" w:tentative="0">
      <w:start w:val="1"/>
      <w:numFmt w:val="lowerLetter"/>
      <w:lvlText w:val="%1."/>
      <w:lvlJc w:val="left"/>
      <w:pPr>
        <w:ind w:left="425" w:hanging="425"/>
      </w:pPr>
      <w:rPr>
        <w:rFonts w:hint="default"/>
      </w:rPr>
    </w:lvl>
  </w:abstractNum>
  <w:abstractNum w:abstractNumId="69">
    <w:nsid w:val="28EF50E6"/>
    <w:multiLevelType w:val="singleLevel"/>
    <w:tmpl w:val="28EF50E6"/>
    <w:lvl w:ilvl="0" w:tentative="0">
      <w:start w:val="1"/>
      <w:numFmt w:val="lowerLetter"/>
      <w:lvlText w:val="%1."/>
      <w:lvlJc w:val="left"/>
      <w:pPr>
        <w:ind w:left="425" w:hanging="425"/>
      </w:pPr>
      <w:rPr>
        <w:rFonts w:hint="default"/>
      </w:rPr>
    </w:lvl>
  </w:abstractNum>
  <w:abstractNum w:abstractNumId="70">
    <w:nsid w:val="29B32EB6"/>
    <w:multiLevelType w:val="singleLevel"/>
    <w:tmpl w:val="29B32EB6"/>
    <w:lvl w:ilvl="0" w:tentative="0">
      <w:start w:val="1"/>
      <w:numFmt w:val="lowerLetter"/>
      <w:lvlText w:val="%1."/>
      <w:lvlJc w:val="left"/>
      <w:pPr>
        <w:ind w:left="425" w:hanging="425"/>
      </w:pPr>
      <w:rPr>
        <w:rFonts w:hint="default"/>
      </w:rPr>
    </w:lvl>
  </w:abstractNum>
  <w:abstractNum w:abstractNumId="71">
    <w:nsid w:val="2C19CB0C"/>
    <w:multiLevelType w:val="singleLevel"/>
    <w:tmpl w:val="2C19CB0C"/>
    <w:lvl w:ilvl="0" w:tentative="0">
      <w:start w:val="1"/>
      <w:numFmt w:val="lowerLetter"/>
      <w:lvlText w:val="%1."/>
      <w:lvlJc w:val="left"/>
      <w:pPr>
        <w:ind w:left="425" w:hanging="425"/>
      </w:pPr>
      <w:rPr>
        <w:rFonts w:hint="default"/>
      </w:rPr>
    </w:lvl>
  </w:abstractNum>
  <w:abstractNum w:abstractNumId="72">
    <w:nsid w:val="3178BF4D"/>
    <w:multiLevelType w:val="singleLevel"/>
    <w:tmpl w:val="3178BF4D"/>
    <w:lvl w:ilvl="0" w:tentative="0">
      <w:start w:val="1"/>
      <w:numFmt w:val="lowerLetter"/>
      <w:lvlText w:val="%1."/>
      <w:lvlJc w:val="left"/>
      <w:pPr>
        <w:ind w:left="425" w:hanging="425"/>
      </w:pPr>
      <w:rPr>
        <w:rFonts w:hint="default"/>
      </w:rPr>
    </w:lvl>
  </w:abstractNum>
  <w:abstractNum w:abstractNumId="73">
    <w:nsid w:val="35F1B046"/>
    <w:multiLevelType w:val="singleLevel"/>
    <w:tmpl w:val="35F1B046"/>
    <w:lvl w:ilvl="0" w:tentative="0">
      <w:start w:val="1"/>
      <w:numFmt w:val="lowerLetter"/>
      <w:lvlText w:val="%1."/>
      <w:lvlJc w:val="left"/>
      <w:pPr>
        <w:ind w:left="425" w:hanging="425"/>
      </w:pPr>
      <w:rPr>
        <w:rFonts w:hint="default"/>
      </w:rPr>
    </w:lvl>
  </w:abstractNum>
  <w:abstractNum w:abstractNumId="74">
    <w:nsid w:val="38873FB3"/>
    <w:multiLevelType w:val="singleLevel"/>
    <w:tmpl w:val="38873FB3"/>
    <w:lvl w:ilvl="0" w:tentative="0">
      <w:start w:val="1"/>
      <w:numFmt w:val="lowerLetter"/>
      <w:lvlText w:val="%1."/>
      <w:lvlJc w:val="left"/>
      <w:pPr>
        <w:ind w:left="425" w:hanging="425"/>
      </w:pPr>
      <w:rPr>
        <w:rFonts w:hint="default"/>
      </w:rPr>
    </w:lvl>
  </w:abstractNum>
  <w:abstractNum w:abstractNumId="75">
    <w:nsid w:val="3A612884"/>
    <w:multiLevelType w:val="singleLevel"/>
    <w:tmpl w:val="3A612884"/>
    <w:lvl w:ilvl="0" w:tentative="0">
      <w:start w:val="1"/>
      <w:numFmt w:val="lowerLetter"/>
      <w:lvlText w:val="%1."/>
      <w:lvlJc w:val="left"/>
      <w:pPr>
        <w:ind w:left="425" w:hanging="425"/>
      </w:pPr>
      <w:rPr>
        <w:rFonts w:hint="default"/>
      </w:rPr>
    </w:lvl>
  </w:abstractNum>
  <w:abstractNum w:abstractNumId="76">
    <w:nsid w:val="3C95A155"/>
    <w:multiLevelType w:val="singleLevel"/>
    <w:tmpl w:val="3C95A155"/>
    <w:lvl w:ilvl="0" w:tentative="0">
      <w:start w:val="1"/>
      <w:numFmt w:val="lowerLetter"/>
      <w:lvlText w:val="%1."/>
      <w:lvlJc w:val="left"/>
      <w:pPr>
        <w:ind w:left="425" w:hanging="425"/>
      </w:pPr>
      <w:rPr>
        <w:rFonts w:hint="default"/>
      </w:rPr>
    </w:lvl>
  </w:abstractNum>
  <w:abstractNum w:abstractNumId="77">
    <w:nsid w:val="3CC0A98D"/>
    <w:multiLevelType w:val="singleLevel"/>
    <w:tmpl w:val="3CC0A98D"/>
    <w:lvl w:ilvl="0" w:tentative="0">
      <w:start w:val="1"/>
      <w:numFmt w:val="lowerLetter"/>
      <w:lvlText w:val="%1."/>
      <w:lvlJc w:val="left"/>
      <w:pPr>
        <w:tabs>
          <w:tab w:val="left" w:pos="312"/>
        </w:tabs>
      </w:pPr>
    </w:lvl>
  </w:abstractNum>
  <w:abstractNum w:abstractNumId="78">
    <w:nsid w:val="3CCC17AE"/>
    <w:multiLevelType w:val="singleLevel"/>
    <w:tmpl w:val="3CCC17AE"/>
    <w:lvl w:ilvl="0" w:tentative="0">
      <w:start w:val="1"/>
      <w:numFmt w:val="lowerLetter"/>
      <w:lvlText w:val="%1."/>
      <w:lvlJc w:val="left"/>
      <w:pPr>
        <w:ind w:left="425" w:hanging="425"/>
      </w:pPr>
      <w:rPr>
        <w:rFonts w:hint="default"/>
      </w:rPr>
    </w:lvl>
  </w:abstractNum>
  <w:abstractNum w:abstractNumId="79">
    <w:nsid w:val="45C0DD5A"/>
    <w:multiLevelType w:val="singleLevel"/>
    <w:tmpl w:val="45C0DD5A"/>
    <w:lvl w:ilvl="0" w:tentative="0">
      <w:start w:val="1"/>
      <w:numFmt w:val="lowerLetter"/>
      <w:lvlText w:val="%1."/>
      <w:lvlJc w:val="left"/>
      <w:pPr>
        <w:ind w:left="425" w:hanging="425"/>
      </w:pPr>
      <w:rPr>
        <w:rFonts w:hint="default"/>
      </w:rPr>
    </w:lvl>
  </w:abstractNum>
  <w:abstractNum w:abstractNumId="80">
    <w:nsid w:val="45D27DE4"/>
    <w:multiLevelType w:val="singleLevel"/>
    <w:tmpl w:val="45D27DE4"/>
    <w:lvl w:ilvl="0" w:tentative="0">
      <w:start w:val="1"/>
      <w:numFmt w:val="lowerLetter"/>
      <w:lvlText w:val="%1."/>
      <w:lvlJc w:val="left"/>
      <w:pPr>
        <w:ind w:left="425" w:hanging="425"/>
      </w:pPr>
      <w:rPr>
        <w:rFonts w:hint="default"/>
      </w:rPr>
    </w:lvl>
  </w:abstractNum>
  <w:abstractNum w:abstractNumId="81">
    <w:nsid w:val="468249C6"/>
    <w:multiLevelType w:val="singleLevel"/>
    <w:tmpl w:val="468249C6"/>
    <w:lvl w:ilvl="0" w:tentative="0">
      <w:start w:val="1"/>
      <w:numFmt w:val="lowerLetter"/>
      <w:lvlText w:val="%1."/>
      <w:lvlJc w:val="left"/>
      <w:pPr>
        <w:ind w:left="425" w:hanging="425"/>
      </w:pPr>
      <w:rPr>
        <w:rFonts w:hint="default"/>
      </w:rPr>
    </w:lvl>
  </w:abstractNum>
  <w:abstractNum w:abstractNumId="82">
    <w:nsid w:val="48649411"/>
    <w:multiLevelType w:val="singleLevel"/>
    <w:tmpl w:val="48649411"/>
    <w:lvl w:ilvl="0" w:tentative="0">
      <w:start w:val="1"/>
      <w:numFmt w:val="lowerLetter"/>
      <w:lvlText w:val="%1."/>
      <w:lvlJc w:val="left"/>
      <w:pPr>
        <w:ind w:left="425" w:hanging="425"/>
      </w:pPr>
      <w:rPr>
        <w:rFonts w:hint="default"/>
      </w:rPr>
    </w:lvl>
  </w:abstractNum>
  <w:abstractNum w:abstractNumId="83">
    <w:nsid w:val="495EB299"/>
    <w:multiLevelType w:val="singleLevel"/>
    <w:tmpl w:val="495EB299"/>
    <w:lvl w:ilvl="0" w:tentative="0">
      <w:start w:val="1"/>
      <w:numFmt w:val="lowerLetter"/>
      <w:lvlText w:val="%1."/>
      <w:lvlJc w:val="left"/>
      <w:pPr>
        <w:ind w:left="425" w:hanging="425"/>
      </w:pPr>
      <w:rPr>
        <w:rFonts w:hint="default"/>
      </w:rPr>
    </w:lvl>
  </w:abstractNum>
  <w:abstractNum w:abstractNumId="84">
    <w:nsid w:val="4A4D289A"/>
    <w:multiLevelType w:val="singleLevel"/>
    <w:tmpl w:val="4A4D289A"/>
    <w:lvl w:ilvl="0" w:tentative="0">
      <w:start w:val="1"/>
      <w:numFmt w:val="lowerLetter"/>
      <w:lvlText w:val="%1."/>
      <w:lvlJc w:val="left"/>
      <w:pPr>
        <w:ind w:left="425" w:hanging="425"/>
      </w:pPr>
      <w:rPr>
        <w:rFonts w:hint="default"/>
      </w:rPr>
    </w:lvl>
  </w:abstractNum>
  <w:abstractNum w:abstractNumId="85">
    <w:nsid w:val="4A9D96EC"/>
    <w:multiLevelType w:val="singleLevel"/>
    <w:tmpl w:val="4A9D96EC"/>
    <w:lvl w:ilvl="0" w:tentative="0">
      <w:start w:val="1"/>
      <w:numFmt w:val="lowerLetter"/>
      <w:lvlText w:val="%1."/>
      <w:lvlJc w:val="left"/>
      <w:pPr>
        <w:ind w:left="425" w:hanging="425"/>
      </w:pPr>
      <w:rPr>
        <w:rFonts w:hint="default"/>
      </w:rPr>
    </w:lvl>
  </w:abstractNum>
  <w:abstractNum w:abstractNumId="86">
    <w:nsid w:val="4B58F893"/>
    <w:multiLevelType w:val="singleLevel"/>
    <w:tmpl w:val="4B58F893"/>
    <w:lvl w:ilvl="0" w:tentative="0">
      <w:start w:val="1"/>
      <w:numFmt w:val="lowerLetter"/>
      <w:lvlText w:val="%1."/>
      <w:lvlJc w:val="left"/>
      <w:pPr>
        <w:ind w:left="425" w:hanging="425"/>
      </w:pPr>
      <w:rPr>
        <w:rFonts w:hint="default"/>
      </w:rPr>
    </w:lvl>
  </w:abstractNum>
  <w:abstractNum w:abstractNumId="87">
    <w:nsid w:val="4B9048DC"/>
    <w:multiLevelType w:val="singleLevel"/>
    <w:tmpl w:val="4B9048DC"/>
    <w:lvl w:ilvl="0" w:tentative="0">
      <w:start w:val="1"/>
      <w:numFmt w:val="lowerLetter"/>
      <w:lvlText w:val="%1."/>
      <w:lvlJc w:val="left"/>
      <w:pPr>
        <w:ind w:left="425" w:hanging="425"/>
      </w:pPr>
      <w:rPr>
        <w:rFonts w:hint="default"/>
      </w:rPr>
    </w:lvl>
  </w:abstractNum>
  <w:abstractNum w:abstractNumId="88">
    <w:nsid w:val="4D87DEDE"/>
    <w:multiLevelType w:val="singleLevel"/>
    <w:tmpl w:val="4D87DEDE"/>
    <w:lvl w:ilvl="0" w:tentative="0">
      <w:start w:val="1"/>
      <w:numFmt w:val="lowerLetter"/>
      <w:lvlText w:val="%1."/>
      <w:lvlJc w:val="left"/>
      <w:pPr>
        <w:ind w:left="425" w:hanging="425"/>
      </w:pPr>
      <w:rPr>
        <w:rFonts w:hint="default"/>
      </w:rPr>
    </w:lvl>
  </w:abstractNum>
  <w:abstractNum w:abstractNumId="89">
    <w:nsid w:val="50A2DDE2"/>
    <w:multiLevelType w:val="singleLevel"/>
    <w:tmpl w:val="50A2DDE2"/>
    <w:lvl w:ilvl="0" w:tentative="0">
      <w:start w:val="1"/>
      <w:numFmt w:val="lowerLetter"/>
      <w:lvlText w:val="%1."/>
      <w:lvlJc w:val="left"/>
      <w:pPr>
        <w:ind w:left="425" w:hanging="425"/>
      </w:pPr>
      <w:rPr>
        <w:rFonts w:hint="default"/>
      </w:rPr>
    </w:lvl>
  </w:abstractNum>
  <w:abstractNum w:abstractNumId="90">
    <w:nsid w:val="543CD6DB"/>
    <w:multiLevelType w:val="singleLevel"/>
    <w:tmpl w:val="543CD6DB"/>
    <w:lvl w:ilvl="0" w:tentative="0">
      <w:start w:val="1"/>
      <w:numFmt w:val="lowerLetter"/>
      <w:lvlText w:val="%1."/>
      <w:lvlJc w:val="left"/>
      <w:pPr>
        <w:ind w:left="425" w:hanging="425"/>
      </w:pPr>
      <w:rPr>
        <w:rFonts w:hint="default"/>
      </w:rPr>
    </w:lvl>
  </w:abstractNum>
  <w:abstractNum w:abstractNumId="91">
    <w:nsid w:val="57F628BD"/>
    <w:multiLevelType w:val="singleLevel"/>
    <w:tmpl w:val="57F628BD"/>
    <w:lvl w:ilvl="0" w:tentative="0">
      <w:start w:val="1"/>
      <w:numFmt w:val="lowerLetter"/>
      <w:lvlText w:val="%1."/>
      <w:lvlJc w:val="left"/>
      <w:pPr>
        <w:ind w:left="425" w:hanging="425"/>
      </w:pPr>
      <w:rPr>
        <w:rFonts w:hint="default"/>
      </w:rPr>
    </w:lvl>
  </w:abstractNum>
  <w:abstractNum w:abstractNumId="92">
    <w:nsid w:val="58939326"/>
    <w:multiLevelType w:val="singleLevel"/>
    <w:tmpl w:val="58939326"/>
    <w:lvl w:ilvl="0" w:tentative="0">
      <w:start w:val="1"/>
      <w:numFmt w:val="lowerLetter"/>
      <w:lvlText w:val="%1."/>
      <w:lvlJc w:val="left"/>
      <w:pPr>
        <w:ind w:left="425" w:hanging="425"/>
      </w:pPr>
      <w:rPr>
        <w:rFonts w:hint="default"/>
      </w:rPr>
    </w:lvl>
  </w:abstractNum>
  <w:abstractNum w:abstractNumId="93">
    <w:nsid w:val="5A89C84D"/>
    <w:multiLevelType w:val="singleLevel"/>
    <w:tmpl w:val="5A89C84D"/>
    <w:lvl w:ilvl="0" w:tentative="0">
      <w:start w:val="1"/>
      <w:numFmt w:val="lowerLetter"/>
      <w:lvlText w:val="%1."/>
      <w:lvlJc w:val="left"/>
      <w:pPr>
        <w:ind w:left="425" w:hanging="425"/>
      </w:pPr>
      <w:rPr>
        <w:rFonts w:hint="default"/>
      </w:rPr>
    </w:lvl>
  </w:abstractNum>
  <w:abstractNum w:abstractNumId="94">
    <w:nsid w:val="5C85A722"/>
    <w:multiLevelType w:val="singleLevel"/>
    <w:tmpl w:val="5C85A722"/>
    <w:lvl w:ilvl="0" w:tentative="0">
      <w:start w:val="1"/>
      <w:numFmt w:val="decimal"/>
      <w:lvlText w:val="%1."/>
      <w:lvlJc w:val="left"/>
      <w:pPr>
        <w:ind w:left="425" w:hanging="425"/>
      </w:pPr>
      <w:rPr>
        <w:rFonts w:hint="default" w:ascii="宋体" w:hAnsi="宋体" w:eastAsia="宋体" w:cs="宋体"/>
      </w:rPr>
    </w:lvl>
  </w:abstractNum>
  <w:abstractNum w:abstractNumId="95">
    <w:nsid w:val="5E26FC1B"/>
    <w:multiLevelType w:val="singleLevel"/>
    <w:tmpl w:val="5E26FC1B"/>
    <w:lvl w:ilvl="0" w:tentative="0">
      <w:start w:val="1"/>
      <w:numFmt w:val="lowerLetter"/>
      <w:lvlText w:val="%1."/>
      <w:lvlJc w:val="left"/>
      <w:pPr>
        <w:ind w:left="425" w:hanging="425"/>
      </w:pPr>
      <w:rPr>
        <w:rFonts w:hint="default"/>
      </w:rPr>
    </w:lvl>
  </w:abstractNum>
  <w:abstractNum w:abstractNumId="96">
    <w:nsid w:val="622E48C2"/>
    <w:multiLevelType w:val="singleLevel"/>
    <w:tmpl w:val="622E48C2"/>
    <w:lvl w:ilvl="0" w:tentative="0">
      <w:start w:val="1"/>
      <w:numFmt w:val="lowerLetter"/>
      <w:lvlText w:val="%1."/>
      <w:lvlJc w:val="left"/>
      <w:pPr>
        <w:ind w:left="425" w:hanging="425"/>
      </w:pPr>
      <w:rPr>
        <w:rFonts w:hint="default"/>
      </w:rPr>
    </w:lvl>
  </w:abstractNum>
  <w:abstractNum w:abstractNumId="97">
    <w:nsid w:val="62E4DEB9"/>
    <w:multiLevelType w:val="singleLevel"/>
    <w:tmpl w:val="62E4DEB9"/>
    <w:lvl w:ilvl="0" w:tentative="0">
      <w:start w:val="1"/>
      <w:numFmt w:val="lowerLetter"/>
      <w:lvlText w:val="%1."/>
      <w:lvlJc w:val="left"/>
      <w:pPr>
        <w:ind w:left="425" w:hanging="425"/>
      </w:pPr>
      <w:rPr>
        <w:rFonts w:hint="default"/>
      </w:rPr>
    </w:lvl>
  </w:abstractNum>
  <w:abstractNum w:abstractNumId="98">
    <w:nsid w:val="63540708"/>
    <w:multiLevelType w:val="singleLevel"/>
    <w:tmpl w:val="63540708"/>
    <w:lvl w:ilvl="0" w:tentative="0">
      <w:start w:val="1"/>
      <w:numFmt w:val="lowerLetter"/>
      <w:lvlText w:val="%1."/>
      <w:lvlJc w:val="left"/>
      <w:pPr>
        <w:ind w:left="425" w:hanging="425"/>
      </w:pPr>
      <w:rPr>
        <w:rFonts w:hint="default"/>
      </w:rPr>
    </w:lvl>
  </w:abstractNum>
  <w:abstractNum w:abstractNumId="99">
    <w:nsid w:val="63E3B0DC"/>
    <w:multiLevelType w:val="singleLevel"/>
    <w:tmpl w:val="63E3B0DC"/>
    <w:lvl w:ilvl="0" w:tentative="0">
      <w:start w:val="1"/>
      <w:numFmt w:val="lowerLetter"/>
      <w:lvlText w:val="%1."/>
      <w:lvlJc w:val="left"/>
      <w:pPr>
        <w:ind w:left="425" w:hanging="425"/>
      </w:pPr>
      <w:rPr>
        <w:rFonts w:hint="default"/>
      </w:rPr>
    </w:lvl>
  </w:abstractNum>
  <w:abstractNum w:abstractNumId="100">
    <w:nsid w:val="64342ACB"/>
    <w:multiLevelType w:val="singleLevel"/>
    <w:tmpl w:val="64342ACB"/>
    <w:lvl w:ilvl="0" w:tentative="0">
      <w:start w:val="1"/>
      <w:numFmt w:val="lowerLetter"/>
      <w:lvlText w:val="%1."/>
      <w:lvlJc w:val="left"/>
      <w:pPr>
        <w:ind w:left="425" w:hanging="425"/>
      </w:pPr>
      <w:rPr>
        <w:rFonts w:hint="default"/>
      </w:rPr>
    </w:lvl>
  </w:abstractNum>
  <w:abstractNum w:abstractNumId="101">
    <w:nsid w:val="6AB2D08E"/>
    <w:multiLevelType w:val="singleLevel"/>
    <w:tmpl w:val="6AB2D08E"/>
    <w:lvl w:ilvl="0" w:tentative="0">
      <w:start w:val="1"/>
      <w:numFmt w:val="lowerLetter"/>
      <w:lvlText w:val="%1."/>
      <w:lvlJc w:val="left"/>
      <w:pPr>
        <w:ind w:left="425" w:hanging="425"/>
      </w:pPr>
      <w:rPr>
        <w:rFonts w:hint="default"/>
      </w:rPr>
    </w:lvl>
  </w:abstractNum>
  <w:abstractNum w:abstractNumId="102">
    <w:nsid w:val="6EF4C4A5"/>
    <w:multiLevelType w:val="singleLevel"/>
    <w:tmpl w:val="6EF4C4A5"/>
    <w:lvl w:ilvl="0" w:tentative="0">
      <w:start w:val="1"/>
      <w:numFmt w:val="lowerLetter"/>
      <w:lvlText w:val="%1."/>
      <w:lvlJc w:val="left"/>
      <w:pPr>
        <w:ind w:left="425" w:hanging="425"/>
      </w:pPr>
      <w:rPr>
        <w:rFonts w:hint="default"/>
      </w:rPr>
    </w:lvl>
  </w:abstractNum>
  <w:abstractNum w:abstractNumId="103">
    <w:nsid w:val="6FB506E2"/>
    <w:multiLevelType w:val="singleLevel"/>
    <w:tmpl w:val="6FB506E2"/>
    <w:lvl w:ilvl="0" w:tentative="0">
      <w:start w:val="1"/>
      <w:numFmt w:val="lowerLetter"/>
      <w:lvlText w:val="%1."/>
      <w:lvlJc w:val="left"/>
      <w:pPr>
        <w:ind w:left="425" w:hanging="425"/>
      </w:pPr>
      <w:rPr>
        <w:rFonts w:hint="default"/>
      </w:rPr>
    </w:lvl>
  </w:abstractNum>
  <w:abstractNum w:abstractNumId="104">
    <w:nsid w:val="7230B17F"/>
    <w:multiLevelType w:val="singleLevel"/>
    <w:tmpl w:val="7230B17F"/>
    <w:lvl w:ilvl="0" w:tentative="0">
      <w:start w:val="1"/>
      <w:numFmt w:val="lowerLetter"/>
      <w:lvlText w:val="%1."/>
      <w:lvlJc w:val="left"/>
      <w:pPr>
        <w:ind w:left="425" w:hanging="425"/>
      </w:pPr>
      <w:rPr>
        <w:rFonts w:hint="default"/>
      </w:rPr>
    </w:lvl>
  </w:abstractNum>
  <w:abstractNum w:abstractNumId="105">
    <w:nsid w:val="73019A0F"/>
    <w:multiLevelType w:val="singleLevel"/>
    <w:tmpl w:val="73019A0F"/>
    <w:lvl w:ilvl="0" w:tentative="0">
      <w:start w:val="1"/>
      <w:numFmt w:val="lowerLetter"/>
      <w:lvlText w:val="%1."/>
      <w:lvlJc w:val="left"/>
      <w:pPr>
        <w:ind w:left="425" w:hanging="425"/>
      </w:pPr>
      <w:rPr>
        <w:rFonts w:hint="default"/>
      </w:rPr>
    </w:lvl>
  </w:abstractNum>
  <w:abstractNum w:abstractNumId="106">
    <w:nsid w:val="734D9F87"/>
    <w:multiLevelType w:val="singleLevel"/>
    <w:tmpl w:val="734D9F87"/>
    <w:lvl w:ilvl="0" w:tentative="0">
      <w:start w:val="1"/>
      <w:numFmt w:val="lowerLetter"/>
      <w:lvlText w:val="%1."/>
      <w:lvlJc w:val="left"/>
      <w:pPr>
        <w:ind w:left="425" w:hanging="425"/>
      </w:pPr>
      <w:rPr>
        <w:rFonts w:hint="default"/>
      </w:rPr>
    </w:lvl>
  </w:abstractNum>
  <w:abstractNum w:abstractNumId="107">
    <w:nsid w:val="7729E700"/>
    <w:multiLevelType w:val="singleLevel"/>
    <w:tmpl w:val="7729E700"/>
    <w:lvl w:ilvl="0" w:tentative="0">
      <w:start w:val="1"/>
      <w:numFmt w:val="lowerLetter"/>
      <w:lvlText w:val="%1."/>
      <w:lvlJc w:val="left"/>
      <w:pPr>
        <w:ind w:left="425" w:hanging="425"/>
      </w:pPr>
      <w:rPr>
        <w:rFonts w:hint="default"/>
      </w:rPr>
    </w:lvl>
  </w:abstractNum>
  <w:abstractNum w:abstractNumId="108">
    <w:nsid w:val="7D7D28C7"/>
    <w:multiLevelType w:val="singleLevel"/>
    <w:tmpl w:val="7D7D28C7"/>
    <w:lvl w:ilvl="0" w:tentative="0">
      <w:start w:val="1"/>
      <w:numFmt w:val="lowerLetter"/>
      <w:lvlText w:val="%1."/>
      <w:lvlJc w:val="left"/>
      <w:pPr>
        <w:ind w:left="425" w:hanging="425"/>
      </w:pPr>
      <w:rPr>
        <w:rFonts w:hint="default"/>
      </w:rPr>
    </w:lvl>
  </w:abstractNum>
  <w:num w:numId="1">
    <w:abstractNumId w:val="0"/>
  </w:num>
  <w:num w:numId="2">
    <w:abstractNumId w:val="4"/>
  </w:num>
  <w:num w:numId="3">
    <w:abstractNumId w:val="105"/>
  </w:num>
  <w:num w:numId="4">
    <w:abstractNumId w:val="67"/>
  </w:num>
  <w:num w:numId="5">
    <w:abstractNumId w:val="37"/>
  </w:num>
  <w:num w:numId="6">
    <w:abstractNumId w:val="63"/>
  </w:num>
  <w:num w:numId="7">
    <w:abstractNumId w:val="99"/>
  </w:num>
  <w:num w:numId="8">
    <w:abstractNumId w:val="44"/>
  </w:num>
  <w:num w:numId="9">
    <w:abstractNumId w:val="84"/>
  </w:num>
  <w:num w:numId="10">
    <w:abstractNumId w:val="90"/>
  </w:num>
  <w:num w:numId="11">
    <w:abstractNumId w:val="49"/>
  </w:num>
  <w:num w:numId="12">
    <w:abstractNumId w:val="3"/>
  </w:num>
  <w:num w:numId="13">
    <w:abstractNumId w:val="104"/>
  </w:num>
  <w:num w:numId="14">
    <w:abstractNumId w:val="16"/>
  </w:num>
  <w:num w:numId="15">
    <w:abstractNumId w:val="21"/>
  </w:num>
  <w:num w:numId="16">
    <w:abstractNumId w:val="12"/>
  </w:num>
  <w:num w:numId="17">
    <w:abstractNumId w:val="106"/>
  </w:num>
  <w:num w:numId="18">
    <w:abstractNumId w:val="1"/>
  </w:num>
  <w:num w:numId="19">
    <w:abstractNumId w:val="2"/>
  </w:num>
  <w:num w:numId="20">
    <w:abstractNumId w:val="25"/>
  </w:num>
  <w:num w:numId="21">
    <w:abstractNumId w:val="57"/>
  </w:num>
  <w:num w:numId="22">
    <w:abstractNumId w:val="11"/>
  </w:num>
  <w:num w:numId="23">
    <w:abstractNumId w:val="107"/>
  </w:num>
  <w:num w:numId="24">
    <w:abstractNumId w:val="56"/>
  </w:num>
  <w:num w:numId="25">
    <w:abstractNumId w:val="102"/>
  </w:num>
  <w:num w:numId="26">
    <w:abstractNumId w:val="30"/>
  </w:num>
  <w:num w:numId="27">
    <w:abstractNumId w:val="34"/>
  </w:num>
  <w:num w:numId="28">
    <w:abstractNumId w:val="78"/>
  </w:num>
  <w:num w:numId="29">
    <w:abstractNumId w:val="26"/>
  </w:num>
  <w:num w:numId="30">
    <w:abstractNumId w:val="86"/>
  </w:num>
  <w:num w:numId="31">
    <w:abstractNumId w:val="10"/>
  </w:num>
  <w:num w:numId="32">
    <w:abstractNumId w:val="19"/>
  </w:num>
  <w:num w:numId="33">
    <w:abstractNumId w:val="38"/>
  </w:num>
  <w:num w:numId="34">
    <w:abstractNumId w:val="70"/>
  </w:num>
  <w:num w:numId="35">
    <w:abstractNumId w:val="24"/>
  </w:num>
  <w:num w:numId="36">
    <w:abstractNumId w:val="64"/>
  </w:num>
  <w:num w:numId="37">
    <w:abstractNumId w:val="22"/>
  </w:num>
  <w:num w:numId="38">
    <w:abstractNumId w:val="65"/>
  </w:num>
  <w:num w:numId="39">
    <w:abstractNumId w:val="75"/>
  </w:num>
  <w:num w:numId="40">
    <w:abstractNumId w:val="7"/>
  </w:num>
  <w:num w:numId="41">
    <w:abstractNumId w:val="35"/>
  </w:num>
  <w:num w:numId="42">
    <w:abstractNumId w:val="51"/>
  </w:num>
  <w:num w:numId="43">
    <w:abstractNumId w:val="73"/>
  </w:num>
  <w:num w:numId="44">
    <w:abstractNumId w:val="87"/>
  </w:num>
  <w:num w:numId="45">
    <w:abstractNumId w:val="60"/>
  </w:num>
  <w:num w:numId="46">
    <w:abstractNumId w:val="72"/>
  </w:num>
  <w:num w:numId="47">
    <w:abstractNumId w:val="66"/>
  </w:num>
  <w:num w:numId="48">
    <w:abstractNumId w:val="54"/>
  </w:num>
  <w:num w:numId="49">
    <w:abstractNumId w:val="59"/>
  </w:num>
  <w:num w:numId="50">
    <w:abstractNumId w:val="50"/>
  </w:num>
  <w:num w:numId="51">
    <w:abstractNumId w:val="94"/>
  </w:num>
  <w:num w:numId="52">
    <w:abstractNumId w:val="108"/>
  </w:num>
  <w:num w:numId="53">
    <w:abstractNumId w:val="58"/>
  </w:num>
  <w:num w:numId="54">
    <w:abstractNumId w:val="89"/>
  </w:num>
  <w:num w:numId="55">
    <w:abstractNumId w:val="71"/>
  </w:num>
  <w:num w:numId="56">
    <w:abstractNumId w:val="36"/>
  </w:num>
  <w:num w:numId="57">
    <w:abstractNumId w:val="17"/>
  </w:num>
  <w:num w:numId="58">
    <w:abstractNumId w:val="5"/>
  </w:num>
  <w:num w:numId="59">
    <w:abstractNumId w:val="52"/>
  </w:num>
  <w:num w:numId="60">
    <w:abstractNumId w:val="62"/>
  </w:num>
  <w:num w:numId="61">
    <w:abstractNumId w:val="13"/>
  </w:num>
  <w:num w:numId="62">
    <w:abstractNumId w:val="40"/>
  </w:num>
  <w:num w:numId="63">
    <w:abstractNumId w:val="46"/>
  </w:num>
  <w:num w:numId="64">
    <w:abstractNumId w:val="95"/>
  </w:num>
  <w:num w:numId="65">
    <w:abstractNumId w:val="98"/>
  </w:num>
  <w:num w:numId="66">
    <w:abstractNumId w:val="93"/>
  </w:num>
  <w:num w:numId="67">
    <w:abstractNumId w:val="82"/>
  </w:num>
  <w:num w:numId="68">
    <w:abstractNumId w:val="100"/>
  </w:num>
  <w:num w:numId="69">
    <w:abstractNumId w:val="9"/>
  </w:num>
  <w:num w:numId="70">
    <w:abstractNumId w:val="55"/>
  </w:num>
  <w:num w:numId="71">
    <w:abstractNumId w:val="91"/>
  </w:num>
  <w:num w:numId="72">
    <w:abstractNumId w:val="41"/>
  </w:num>
  <w:num w:numId="73">
    <w:abstractNumId w:val="6"/>
  </w:num>
  <w:num w:numId="74">
    <w:abstractNumId w:val="74"/>
  </w:num>
  <w:num w:numId="75">
    <w:abstractNumId w:val="81"/>
  </w:num>
  <w:num w:numId="76">
    <w:abstractNumId w:val="97"/>
  </w:num>
  <w:num w:numId="77">
    <w:abstractNumId w:val="68"/>
  </w:num>
  <w:num w:numId="78">
    <w:abstractNumId w:val="39"/>
  </w:num>
  <w:num w:numId="79">
    <w:abstractNumId w:val="85"/>
  </w:num>
  <w:num w:numId="80">
    <w:abstractNumId w:val="101"/>
  </w:num>
  <w:num w:numId="81">
    <w:abstractNumId w:val="53"/>
  </w:num>
  <w:num w:numId="82">
    <w:abstractNumId w:val="79"/>
  </w:num>
  <w:num w:numId="83">
    <w:abstractNumId w:val="28"/>
  </w:num>
  <w:num w:numId="84">
    <w:abstractNumId w:val="15"/>
  </w:num>
  <w:num w:numId="85">
    <w:abstractNumId w:val="8"/>
  </w:num>
  <w:num w:numId="86">
    <w:abstractNumId w:val="76"/>
  </w:num>
  <w:num w:numId="87">
    <w:abstractNumId w:val="42"/>
  </w:num>
  <w:num w:numId="88">
    <w:abstractNumId w:val="43"/>
  </w:num>
  <w:num w:numId="89">
    <w:abstractNumId w:val="48"/>
  </w:num>
  <w:num w:numId="90">
    <w:abstractNumId w:val="20"/>
  </w:num>
  <w:num w:numId="91">
    <w:abstractNumId w:val="103"/>
  </w:num>
  <w:num w:numId="92">
    <w:abstractNumId w:val="88"/>
  </w:num>
  <w:num w:numId="93">
    <w:abstractNumId w:val="61"/>
  </w:num>
  <w:num w:numId="94">
    <w:abstractNumId w:val="27"/>
  </w:num>
  <w:num w:numId="95">
    <w:abstractNumId w:val="14"/>
  </w:num>
  <w:num w:numId="96">
    <w:abstractNumId w:val="45"/>
  </w:num>
  <w:num w:numId="97">
    <w:abstractNumId w:val="33"/>
  </w:num>
  <w:num w:numId="98">
    <w:abstractNumId w:val="83"/>
  </w:num>
  <w:num w:numId="99">
    <w:abstractNumId w:val="31"/>
  </w:num>
  <w:num w:numId="100">
    <w:abstractNumId w:val="18"/>
  </w:num>
  <w:num w:numId="101">
    <w:abstractNumId w:val="47"/>
  </w:num>
  <w:num w:numId="102">
    <w:abstractNumId w:val="29"/>
  </w:num>
  <w:num w:numId="103">
    <w:abstractNumId w:val="69"/>
  </w:num>
  <w:num w:numId="104">
    <w:abstractNumId w:val="77"/>
  </w:num>
  <w:num w:numId="105">
    <w:abstractNumId w:val="92"/>
  </w:num>
  <w:num w:numId="106">
    <w:abstractNumId w:val="23"/>
  </w:num>
  <w:num w:numId="107">
    <w:abstractNumId w:val="32"/>
  </w:num>
  <w:num w:numId="108">
    <w:abstractNumId w:val="96"/>
  </w:num>
  <w:num w:numId="109">
    <w:abstractNumId w:val="8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AD0489"/>
    <w:rsid w:val="3B820199"/>
    <w:rsid w:val="4A602A79"/>
    <w:rsid w:val="51AD0489"/>
    <w:rsid w:val="7DB04407"/>
    <w:rsid w:val="CEE7CAC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黑体"/>
      <w:kern w:val="2"/>
      <w:sz w:val="32"/>
      <w:szCs w:val="2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eastAsia="宋体" w:cs="宋体"/>
      <w:sz w:val="21"/>
      <w:szCs w:val="21"/>
    </w:rPr>
  </w:style>
  <w:style w:type="paragraph" w:styleId="3">
    <w:name w:val="Body Text Indent"/>
    <w:basedOn w:val="1"/>
    <w:qFormat/>
    <w:uiPriority w:val="0"/>
    <w:pPr>
      <w:spacing w:after="120" w:line="240" w:lineRule="auto"/>
      <w:ind w:left="420" w:leftChars="200"/>
    </w:pPr>
    <w:rPr>
      <w:rFonts w:ascii="Times New Roman" w:hAnsi="Times New Roman" w:cs="Times New Roman"/>
      <w:szCs w:val="24"/>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toc 1"/>
    <w:basedOn w:val="1"/>
    <w:next w:val="1"/>
    <w:qFormat/>
    <w:uiPriority w:val="0"/>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2022-02-21T11:28:00Z</dcterms:created>
  <dc:creator>陈洪乐</dc:creator>
  <cp:lastModifiedBy>虎年水瓶座</cp:lastModifiedBy>
  <dcterms:modified xsi:type="dcterms:W3CDTF">2022-03-07T02:25:51Z</dcterms:modified>
  <dc:title>广东省政府质量奖（组织）评审准则</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